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4B20" w14:textId="61B2B985" w:rsidR="00C419EC" w:rsidRDefault="00C419EC" w:rsidP="00701D55">
      <w:pPr>
        <w:rPr>
          <w:rFonts w:ascii="Arial" w:hAnsi="Arial" w:cs="Arial"/>
          <w:b/>
          <w:sz w:val="20"/>
          <w:szCs w:val="20"/>
        </w:rPr>
      </w:pPr>
    </w:p>
    <w:p w14:paraId="0A7E12B3" w14:textId="77777777" w:rsidR="00F26BD3" w:rsidRDefault="00F26BD3" w:rsidP="00701D55">
      <w:pPr>
        <w:rPr>
          <w:rFonts w:ascii="Arial" w:hAnsi="Arial" w:cs="Arial"/>
          <w:b/>
          <w:sz w:val="20"/>
          <w:szCs w:val="20"/>
        </w:rPr>
      </w:pPr>
    </w:p>
    <w:p w14:paraId="21A00B1C" w14:textId="77777777" w:rsidR="00F26BD3" w:rsidRDefault="00F26BD3" w:rsidP="00701D55">
      <w:pPr>
        <w:rPr>
          <w:rFonts w:ascii="Arial" w:hAnsi="Arial" w:cs="Arial"/>
          <w:b/>
          <w:sz w:val="20"/>
          <w:szCs w:val="20"/>
        </w:rPr>
      </w:pPr>
    </w:p>
    <w:p w14:paraId="13D6FFD9" w14:textId="77777777" w:rsidR="00C419EC" w:rsidRDefault="00C419EC" w:rsidP="00255B77">
      <w:pPr>
        <w:jc w:val="center"/>
        <w:rPr>
          <w:rFonts w:ascii="Arial" w:hAnsi="Arial" w:cs="Arial"/>
          <w:b/>
          <w:sz w:val="20"/>
          <w:szCs w:val="20"/>
        </w:rPr>
      </w:pPr>
    </w:p>
    <w:p w14:paraId="3A21F708" w14:textId="77777777" w:rsidR="003C698F" w:rsidRPr="00F26BD3" w:rsidRDefault="008D5ED0" w:rsidP="00255B77">
      <w:pPr>
        <w:jc w:val="center"/>
        <w:rPr>
          <w:rFonts w:ascii="Arial" w:hAnsi="Arial" w:cs="Arial"/>
          <w:b/>
          <w:sz w:val="20"/>
          <w:szCs w:val="20"/>
        </w:rPr>
      </w:pPr>
      <w:r w:rsidRPr="00F26BD3">
        <w:rPr>
          <w:rFonts w:ascii="Arial" w:hAnsi="Arial" w:cs="Arial"/>
          <w:b/>
          <w:sz w:val="20"/>
          <w:szCs w:val="20"/>
        </w:rPr>
        <w:t>INFORMATIVA SUI LIVELLI DI QUALITA’ COMMERCIALE DEL SERVIZIO DI DISTRIBUZIONE DEL GAS</w:t>
      </w:r>
    </w:p>
    <w:p w14:paraId="440EC785" w14:textId="77777777" w:rsidR="008D5ED0" w:rsidRPr="008B33EF" w:rsidRDefault="008D5ED0">
      <w:pPr>
        <w:rPr>
          <w:rFonts w:ascii="Arial" w:hAnsi="Arial" w:cs="Arial"/>
          <w:b/>
          <w:sz w:val="20"/>
          <w:szCs w:val="20"/>
        </w:rPr>
      </w:pPr>
    </w:p>
    <w:p w14:paraId="06091C73" w14:textId="77777777" w:rsidR="002A2BB7" w:rsidRDefault="002A2BB7" w:rsidP="00625E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2695272B" w14:textId="77777777" w:rsidR="008B33EF" w:rsidRPr="008B33EF" w:rsidRDefault="009B3B92" w:rsidP="00625E1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Toscana Energia</w:t>
      </w:r>
      <w:r w:rsidR="008B33EF" w:rsidRPr="008B33EF">
        <w:rPr>
          <w:rFonts w:ascii="Arial" w:hAnsi="Arial" w:cs="Arial"/>
          <w:sz w:val="20"/>
          <w:szCs w:val="20"/>
        </w:rPr>
        <w:t xml:space="preserve"> </w:t>
      </w:r>
      <w:r w:rsidR="002205BE">
        <w:rPr>
          <w:rFonts w:ascii="Arial" w:hAnsi="Arial" w:cs="Arial"/>
          <w:sz w:val="20"/>
          <w:szCs w:val="20"/>
        </w:rPr>
        <w:t xml:space="preserve">S.p.A. </w:t>
      </w:r>
      <w:r w:rsidR="008B33EF" w:rsidRPr="008B33EF">
        <w:rPr>
          <w:rFonts w:ascii="Arial" w:hAnsi="Arial" w:cs="Arial"/>
          <w:sz w:val="20"/>
          <w:szCs w:val="20"/>
        </w:rPr>
        <w:t xml:space="preserve">attua le disposizioni dell’Autorità </w:t>
      </w:r>
      <w:r w:rsidR="00B21A53">
        <w:rPr>
          <w:rFonts w:ascii="Arial" w:hAnsi="Arial" w:cs="Arial"/>
          <w:sz w:val="20"/>
          <w:szCs w:val="20"/>
        </w:rPr>
        <w:t xml:space="preserve">di Regolazione per Energia Reti e Ambiente </w:t>
      </w:r>
      <w:r w:rsidR="008B33EF" w:rsidRPr="008B33EF">
        <w:rPr>
          <w:rFonts w:ascii="Arial" w:hAnsi="Arial" w:cs="Arial"/>
          <w:sz w:val="20"/>
          <w:szCs w:val="20"/>
        </w:rPr>
        <w:t>contenute nella Sezione III della deliberazione n.</w:t>
      </w:r>
      <w:r w:rsidR="008B33EF">
        <w:rPr>
          <w:rFonts w:ascii="Arial" w:hAnsi="Arial" w:cs="Arial"/>
          <w:sz w:val="20"/>
          <w:szCs w:val="20"/>
        </w:rPr>
        <w:t xml:space="preserve"> </w:t>
      </w:r>
      <w:r w:rsidR="001C1805">
        <w:rPr>
          <w:rFonts w:ascii="Arial" w:hAnsi="Arial" w:cs="Arial"/>
          <w:sz w:val="20"/>
          <w:szCs w:val="20"/>
        </w:rPr>
        <w:t>5</w:t>
      </w:r>
      <w:r w:rsidR="005312C6">
        <w:rPr>
          <w:rFonts w:ascii="Arial" w:hAnsi="Arial" w:cs="Arial"/>
          <w:sz w:val="20"/>
          <w:szCs w:val="20"/>
        </w:rPr>
        <w:t>69</w:t>
      </w:r>
      <w:r w:rsidR="008B33EF" w:rsidRPr="008B33EF">
        <w:rPr>
          <w:rFonts w:ascii="Arial" w:hAnsi="Arial" w:cs="Arial"/>
          <w:sz w:val="20"/>
          <w:szCs w:val="20"/>
        </w:rPr>
        <w:t>/</w:t>
      </w:r>
      <w:r w:rsidR="001C1805">
        <w:rPr>
          <w:rFonts w:ascii="Arial" w:hAnsi="Arial" w:cs="Arial"/>
          <w:sz w:val="20"/>
          <w:szCs w:val="20"/>
        </w:rPr>
        <w:t>201</w:t>
      </w:r>
      <w:r w:rsidR="005312C6">
        <w:rPr>
          <w:rFonts w:ascii="Arial" w:hAnsi="Arial" w:cs="Arial"/>
          <w:sz w:val="20"/>
          <w:szCs w:val="20"/>
        </w:rPr>
        <w:t>9</w:t>
      </w:r>
      <w:r w:rsidR="001C1805">
        <w:rPr>
          <w:rFonts w:ascii="Arial" w:hAnsi="Arial" w:cs="Arial"/>
          <w:sz w:val="20"/>
          <w:szCs w:val="20"/>
        </w:rPr>
        <w:t>/R/Gas</w:t>
      </w:r>
      <w:r w:rsidR="008B33EF" w:rsidRPr="008B33EF">
        <w:rPr>
          <w:rFonts w:ascii="Arial" w:hAnsi="Arial" w:cs="Arial"/>
          <w:sz w:val="20"/>
          <w:szCs w:val="20"/>
        </w:rPr>
        <w:t>, nei casi di richieste di fornitura di gas naturale con clienti final</w:t>
      </w:r>
      <w:r w:rsidR="001C1805">
        <w:rPr>
          <w:rFonts w:ascii="Arial" w:hAnsi="Arial" w:cs="Arial"/>
          <w:sz w:val="20"/>
          <w:szCs w:val="20"/>
        </w:rPr>
        <w:t>i alimentati in bassa pressione, diversi dai casi indicati all’art</w:t>
      </w:r>
      <w:r w:rsidR="00493FA5">
        <w:rPr>
          <w:rFonts w:ascii="Arial" w:hAnsi="Arial" w:cs="Arial"/>
          <w:sz w:val="20"/>
          <w:szCs w:val="20"/>
        </w:rPr>
        <w:t>. 67.1</w:t>
      </w:r>
      <w:r w:rsidR="001C1805">
        <w:rPr>
          <w:rFonts w:ascii="Arial" w:hAnsi="Arial" w:cs="Arial"/>
          <w:sz w:val="20"/>
          <w:szCs w:val="20"/>
        </w:rPr>
        <w:t xml:space="preserve"> della </w:t>
      </w:r>
      <w:r w:rsidR="002D3FD7">
        <w:rPr>
          <w:rFonts w:ascii="Arial" w:hAnsi="Arial" w:cs="Arial"/>
          <w:sz w:val="20"/>
          <w:szCs w:val="20"/>
        </w:rPr>
        <w:t xml:space="preserve">stessa </w:t>
      </w:r>
      <w:r w:rsidR="001C1805">
        <w:rPr>
          <w:rFonts w:ascii="Arial" w:hAnsi="Arial" w:cs="Arial"/>
          <w:sz w:val="20"/>
          <w:szCs w:val="20"/>
        </w:rPr>
        <w:t>Deliberazione.</w:t>
      </w:r>
    </w:p>
    <w:p w14:paraId="430C69B9" w14:textId="77777777" w:rsidR="008B33EF" w:rsidRDefault="008B33EF" w:rsidP="00625E1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E40B486" w14:textId="77777777" w:rsidR="00255B77" w:rsidRPr="002F6302" w:rsidRDefault="00255B77" w:rsidP="00255B77">
      <w:pPr>
        <w:widowControl w:val="0"/>
        <w:autoSpaceDE w:val="0"/>
        <w:autoSpaceDN w:val="0"/>
        <w:adjustRightInd w:val="0"/>
        <w:spacing w:line="160" w:lineRule="exact"/>
        <w:outlineLvl w:val="0"/>
        <w:rPr>
          <w:rFonts w:ascii="Tahoma" w:hAnsi="Tahoma" w:cs="Tahoma"/>
          <w:b/>
          <w:bCs/>
          <w:spacing w:val="-2"/>
          <w:w w:val="98"/>
          <w:sz w:val="20"/>
          <w:szCs w:val="20"/>
        </w:rPr>
      </w:pPr>
      <w:r w:rsidRPr="002F6302">
        <w:rPr>
          <w:rFonts w:ascii="Tahoma" w:hAnsi="Tahoma" w:cs="Tahoma"/>
          <w:b/>
          <w:bCs/>
          <w:spacing w:val="-2"/>
          <w:w w:val="98"/>
          <w:sz w:val="20"/>
          <w:szCs w:val="20"/>
        </w:rPr>
        <w:t>I livelli specifici di qualità commerciale</w:t>
      </w:r>
    </w:p>
    <w:p w14:paraId="235A5C1D" w14:textId="77777777" w:rsidR="00255B77" w:rsidRPr="008B33EF" w:rsidRDefault="00255B77" w:rsidP="00625E1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C8C796F" w14:textId="77777777" w:rsidR="008B33EF" w:rsidRPr="008B33EF" w:rsidRDefault="008B33EF" w:rsidP="00625E1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33EF">
        <w:rPr>
          <w:rFonts w:ascii="Arial" w:hAnsi="Arial" w:cs="Arial"/>
          <w:sz w:val="20"/>
          <w:szCs w:val="20"/>
        </w:rPr>
        <w:t>Nella tabella seguente sono riportati i livelli specifici di qualità commerciale del servizio distribuzione gas.</w:t>
      </w:r>
    </w:p>
    <w:p w14:paraId="141B7A4F" w14:textId="77777777" w:rsidR="00625E10" w:rsidRPr="008B33EF" w:rsidRDefault="00625E10" w:rsidP="008D5ED0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6722"/>
      </w:tblGrid>
      <w:tr w:rsidR="00F73898" w:rsidRPr="00136B82" w14:paraId="7B1B7A3B" w14:textId="77777777" w:rsidTr="00D11C93">
        <w:trPr>
          <w:trHeight w:val="567"/>
        </w:trPr>
        <w:tc>
          <w:tcPr>
            <w:tcW w:w="3510" w:type="dxa"/>
            <w:shd w:val="clear" w:color="auto" w:fill="CCCCCC"/>
            <w:vAlign w:val="center"/>
          </w:tcPr>
          <w:p w14:paraId="7D2FDA26" w14:textId="77777777" w:rsidR="00F73898" w:rsidRPr="0037200A" w:rsidRDefault="00F73898" w:rsidP="00136B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200A">
              <w:rPr>
                <w:rFonts w:ascii="Arial" w:hAnsi="Arial" w:cs="Arial"/>
                <w:b/>
                <w:sz w:val="16"/>
                <w:szCs w:val="16"/>
              </w:rPr>
              <w:t>PRESTAZIONE</w:t>
            </w:r>
            <w:r w:rsidR="00227705" w:rsidRPr="003720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7200A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27705" w:rsidRPr="0037200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BC7983" w:rsidRPr="0037200A">
              <w:rPr>
                <w:rFonts w:ascii="Arial" w:hAnsi="Arial" w:cs="Arial"/>
                <w:b/>
                <w:sz w:val="16"/>
                <w:szCs w:val="16"/>
              </w:rPr>
              <w:t>ndicatore</w:t>
            </w:r>
            <w:r w:rsidR="0037200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834" w:type="dxa"/>
            <w:shd w:val="clear" w:color="auto" w:fill="CCCCCC"/>
            <w:vAlign w:val="center"/>
          </w:tcPr>
          <w:p w14:paraId="2FD0DF83" w14:textId="77777777" w:rsidR="00F73898" w:rsidRPr="00136B82" w:rsidRDefault="00227705" w:rsidP="00D25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200A">
              <w:rPr>
                <w:rFonts w:ascii="Arial" w:hAnsi="Arial" w:cs="Arial"/>
                <w:b/>
                <w:sz w:val="16"/>
                <w:szCs w:val="16"/>
              </w:rPr>
              <w:t>Livello specifico</w:t>
            </w:r>
          </w:p>
        </w:tc>
      </w:tr>
      <w:tr w:rsidR="00625E10" w:rsidRPr="00136B82" w14:paraId="5C7AD822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682D1ADF" w14:textId="77777777" w:rsidR="00625E10" w:rsidRPr="002F6302" w:rsidRDefault="00625E10" w:rsidP="00A046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302">
              <w:rPr>
                <w:rFonts w:ascii="Arial" w:hAnsi="Arial" w:cs="Arial"/>
                <w:sz w:val="18"/>
                <w:szCs w:val="18"/>
              </w:rPr>
              <w:t>Tempo massimo di preventivazione per</w:t>
            </w:r>
            <w:r w:rsidR="00EF4A71" w:rsidRPr="002F63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6302">
              <w:rPr>
                <w:rFonts w:ascii="Arial" w:hAnsi="Arial" w:cs="Arial"/>
                <w:sz w:val="18"/>
                <w:szCs w:val="18"/>
              </w:rPr>
              <w:t>l'esecuzione di lavori semplici</w:t>
            </w:r>
          </w:p>
        </w:tc>
        <w:tc>
          <w:tcPr>
            <w:tcW w:w="6834" w:type="dxa"/>
            <w:vAlign w:val="center"/>
          </w:tcPr>
          <w:p w14:paraId="256CDD84" w14:textId="77777777" w:rsidR="00625E10" w:rsidRPr="002F6302" w:rsidRDefault="00625E10" w:rsidP="00136B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302">
              <w:rPr>
                <w:rFonts w:ascii="Arial" w:hAnsi="Arial" w:cs="Arial"/>
                <w:sz w:val="18"/>
                <w:szCs w:val="18"/>
              </w:rPr>
              <w:t>15 giorni lavorativi</w:t>
            </w:r>
          </w:p>
        </w:tc>
      </w:tr>
      <w:tr w:rsidR="00625E10" w:rsidRPr="00136B82" w14:paraId="6994308C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6FC27F9E" w14:textId="77777777" w:rsidR="00625E10" w:rsidRPr="002F6302" w:rsidRDefault="00625E10" w:rsidP="00A046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302">
              <w:rPr>
                <w:rFonts w:ascii="Arial" w:hAnsi="Arial" w:cs="Arial"/>
                <w:sz w:val="18"/>
                <w:szCs w:val="18"/>
              </w:rPr>
              <w:t>Tempo massimo di preventivazione per</w:t>
            </w:r>
          </w:p>
          <w:p w14:paraId="13A6C67D" w14:textId="77777777" w:rsidR="00625E10" w:rsidRPr="002F6302" w:rsidRDefault="00625E10" w:rsidP="00A046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302">
              <w:rPr>
                <w:rFonts w:ascii="Arial" w:hAnsi="Arial" w:cs="Arial"/>
                <w:sz w:val="18"/>
                <w:szCs w:val="18"/>
              </w:rPr>
              <w:t>l'esecuzione di lavori</w:t>
            </w:r>
            <w:r w:rsidR="00EF4A71" w:rsidRPr="002F63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6302">
              <w:rPr>
                <w:rFonts w:ascii="Arial" w:hAnsi="Arial" w:cs="Arial"/>
                <w:sz w:val="18"/>
                <w:szCs w:val="18"/>
              </w:rPr>
              <w:t>complessi</w:t>
            </w:r>
          </w:p>
        </w:tc>
        <w:tc>
          <w:tcPr>
            <w:tcW w:w="6834" w:type="dxa"/>
            <w:vAlign w:val="center"/>
          </w:tcPr>
          <w:p w14:paraId="00196715" w14:textId="77777777" w:rsidR="00625E10" w:rsidRPr="002F6302" w:rsidRDefault="001C1805" w:rsidP="00136B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302">
              <w:rPr>
                <w:rFonts w:ascii="Arial" w:hAnsi="Arial" w:cs="Arial"/>
                <w:sz w:val="18"/>
                <w:szCs w:val="18"/>
              </w:rPr>
              <w:t>3</w:t>
            </w:r>
            <w:r w:rsidR="00625E10" w:rsidRPr="002F6302">
              <w:rPr>
                <w:rFonts w:ascii="Arial" w:hAnsi="Arial" w:cs="Arial"/>
                <w:sz w:val="18"/>
                <w:szCs w:val="18"/>
              </w:rPr>
              <w:t>0 giorni lavorativi</w:t>
            </w:r>
          </w:p>
        </w:tc>
      </w:tr>
      <w:tr w:rsidR="002D3FD7" w:rsidRPr="00136B82" w14:paraId="46C60BD1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7517533C" w14:textId="77777777" w:rsidR="002D3FD7" w:rsidRPr="002F6302" w:rsidRDefault="002D3FD7" w:rsidP="00A046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302">
              <w:rPr>
                <w:rFonts w:ascii="Arial" w:hAnsi="Arial" w:cs="Arial"/>
                <w:sz w:val="18"/>
                <w:szCs w:val="18"/>
              </w:rPr>
              <w:t>Tempo massimo di esecuzione di lavori semplici</w:t>
            </w:r>
          </w:p>
        </w:tc>
        <w:tc>
          <w:tcPr>
            <w:tcW w:w="6834" w:type="dxa"/>
            <w:vAlign w:val="center"/>
          </w:tcPr>
          <w:p w14:paraId="1AE10D40" w14:textId="77777777" w:rsidR="002D3FD7" w:rsidRPr="002F6302" w:rsidRDefault="002D3FD7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F6302">
              <w:rPr>
                <w:rFonts w:ascii="Arial" w:hAnsi="Arial" w:cs="Arial"/>
                <w:sz w:val="18"/>
                <w:szCs w:val="18"/>
              </w:rPr>
              <w:t>10</w:t>
            </w:r>
            <w:proofErr w:type="gramEnd"/>
            <w:r w:rsidRPr="002F6302">
              <w:rPr>
                <w:rFonts w:ascii="Arial" w:hAnsi="Arial" w:cs="Arial"/>
                <w:sz w:val="18"/>
                <w:szCs w:val="18"/>
              </w:rPr>
              <w:t xml:space="preserve"> giorni lavorativi</w:t>
            </w:r>
          </w:p>
        </w:tc>
      </w:tr>
      <w:tr w:rsidR="002D3FD7" w:rsidRPr="00136B82" w14:paraId="19747422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36C03A47" w14:textId="77777777" w:rsidR="002D3FD7" w:rsidRPr="002F6302" w:rsidRDefault="002D3FD7" w:rsidP="00D11C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302">
              <w:rPr>
                <w:rFonts w:ascii="Arial" w:hAnsi="Arial" w:cs="Arial"/>
                <w:sz w:val="18"/>
                <w:szCs w:val="18"/>
              </w:rPr>
              <w:t>Tempo massimo di attivazione della fornitura</w:t>
            </w:r>
            <w:r w:rsidR="00B21A53">
              <w:rPr>
                <w:rFonts w:ascii="Arial" w:hAnsi="Arial" w:cs="Arial"/>
                <w:sz w:val="18"/>
                <w:szCs w:val="18"/>
              </w:rPr>
              <w:t xml:space="preserve"> su richiesta del cliente </w:t>
            </w:r>
          </w:p>
        </w:tc>
        <w:tc>
          <w:tcPr>
            <w:tcW w:w="6834" w:type="dxa"/>
            <w:vAlign w:val="center"/>
          </w:tcPr>
          <w:p w14:paraId="0788781C" w14:textId="77777777" w:rsidR="002D3FD7" w:rsidRPr="002F6302" w:rsidRDefault="002D3FD7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F6302">
              <w:rPr>
                <w:rFonts w:ascii="Arial" w:hAnsi="Arial" w:cs="Arial"/>
                <w:sz w:val="18"/>
                <w:szCs w:val="18"/>
              </w:rPr>
              <w:t>10</w:t>
            </w:r>
            <w:proofErr w:type="gramEnd"/>
            <w:r w:rsidRPr="002F6302">
              <w:rPr>
                <w:rFonts w:ascii="Arial" w:hAnsi="Arial" w:cs="Arial"/>
                <w:sz w:val="18"/>
                <w:szCs w:val="18"/>
              </w:rPr>
              <w:t xml:space="preserve"> giorni lavorativi</w:t>
            </w:r>
          </w:p>
        </w:tc>
      </w:tr>
      <w:tr w:rsidR="002D3FD7" w:rsidRPr="00136B82" w14:paraId="0C939618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23980B67" w14:textId="77777777" w:rsidR="002D3FD7" w:rsidRPr="002F6302" w:rsidRDefault="002D3FD7" w:rsidP="00D11C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302">
              <w:rPr>
                <w:rFonts w:ascii="Arial" w:hAnsi="Arial" w:cs="Arial"/>
                <w:sz w:val="18"/>
                <w:szCs w:val="18"/>
              </w:rPr>
              <w:t>Tempo massimo di disattivazione della fornitura su richiesta del cliente finale</w:t>
            </w:r>
            <w:r w:rsidR="00B21A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34" w:type="dxa"/>
            <w:vAlign w:val="center"/>
          </w:tcPr>
          <w:p w14:paraId="1AFA3A19" w14:textId="77777777" w:rsidR="002D3FD7" w:rsidRPr="002F6302" w:rsidRDefault="002D3FD7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F6302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2F6302">
              <w:rPr>
                <w:rFonts w:ascii="Arial" w:hAnsi="Arial" w:cs="Arial"/>
                <w:sz w:val="18"/>
                <w:szCs w:val="18"/>
              </w:rPr>
              <w:t xml:space="preserve"> giorni lavorativi</w:t>
            </w:r>
          </w:p>
        </w:tc>
      </w:tr>
      <w:tr w:rsidR="00D30818" w:rsidRPr="00136B82" w14:paraId="4E3CD9D7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14F1D55D" w14:textId="77777777" w:rsidR="00D30818" w:rsidRPr="002F6302" w:rsidRDefault="00D30818" w:rsidP="00D11C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302">
              <w:rPr>
                <w:rFonts w:ascii="Arial" w:hAnsi="Arial" w:cs="Arial"/>
                <w:sz w:val="18"/>
                <w:szCs w:val="18"/>
              </w:rPr>
              <w:t>Tempo massimo di riattivazione della fornitura in seguito a sospensione per morosità</w:t>
            </w:r>
            <w:r w:rsidR="00B21A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34" w:type="dxa"/>
            <w:vAlign w:val="center"/>
          </w:tcPr>
          <w:p w14:paraId="1C92FE92" w14:textId="77777777" w:rsidR="00D30818" w:rsidRPr="002F6302" w:rsidRDefault="00D30818" w:rsidP="00136B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F6302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2F6302">
              <w:rPr>
                <w:rFonts w:ascii="Arial" w:hAnsi="Arial" w:cs="Arial"/>
                <w:sz w:val="18"/>
                <w:szCs w:val="18"/>
              </w:rPr>
              <w:t xml:space="preserve"> giorni feriali</w:t>
            </w:r>
          </w:p>
        </w:tc>
      </w:tr>
      <w:tr w:rsidR="001C1805" w:rsidRPr="00136B82" w14:paraId="1531CE5B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0F7DECCB" w14:textId="77777777" w:rsidR="001C1805" w:rsidRPr="002F6302" w:rsidRDefault="001C1805" w:rsidP="00D11C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302">
              <w:rPr>
                <w:rFonts w:ascii="Arial" w:hAnsi="Arial" w:cs="Arial"/>
                <w:sz w:val="18"/>
                <w:szCs w:val="18"/>
              </w:rPr>
              <w:t xml:space="preserve">Tempo massimo di riattivazione della fornitura in seguito a sospensione per </w:t>
            </w:r>
            <w:r w:rsidR="005D5C66" w:rsidRPr="002F6302">
              <w:rPr>
                <w:rFonts w:ascii="Arial" w:hAnsi="Arial" w:cs="Arial"/>
                <w:sz w:val="18"/>
                <w:szCs w:val="18"/>
              </w:rPr>
              <w:t>situazione di potenziale pericolo per la pubblica incolumità</w:t>
            </w:r>
            <w:r w:rsidR="00B21A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34" w:type="dxa"/>
            <w:vAlign w:val="center"/>
          </w:tcPr>
          <w:p w14:paraId="6CF1D97F" w14:textId="77777777" w:rsidR="001C1805" w:rsidRPr="002F6302" w:rsidRDefault="005D5C66" w:rsidP="00136B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F6302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2F6302">
              <w:rPr>
                <w:rFonts w:ascii="Arial" w:hAnsi="Arial" w:cs="Arial"/>
                <w:sz w:val="18"/>
                <w:szCs w:val="18"/>
              </w:rPr>
              <w:t xml:space="preserve"> giorni feriali</w:t>
            </w:r>
          </w:p>
        </w:tc>
      </w:tr>
      <w:tr w:rsidR="005D5C66" w:rsidRPr="00136B82" w14:paraId="126F47A4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32C63E38" w14:textId="77777777" w:rsidR="005D5C66" w:rsidRPr="002F6302" w:rsidRDefault="005D5C66" w:rsidP="00D11C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302">
              <w:rPr>
                <w:rFonts w:ascii="Arial" w:hAnsi="Arial" w:cs="Arial"/>
                <w:sz w:val="18"/>
                <w:szCs w:val="18"/>
              </w:rPr>
              <w:t>Tempo massimo di verifica del gruppo di misura su richiesta del cliente finale</w:t>
            </w:r>
            <w:r w:rsidR="00B21A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34" w:type="dxa"/>
            <w:vAlign w:val="center"/>
          </w:tcPr>
          <w:p w14:paraId="7A4DB6EB" w14:textId="77777777" w:rsidR="005D5C66" w:rsidRPr="002F6302" w:rsidRDefault="005D5C66" w:rsidP="00136B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302">
              <w:rPr>
                <w:rFonts w:ascii="Arial" w:hAnsi="Arial" w:cs="Arial"/>
                <w:sz w:val="18"/>
                <w:szCs w:val="18"/>
              </w:rPr>
              <w:t>20 giorni lavorativi</w:t>
            </w:r>
          </w:p>
        </w:tc>
      </w:tr>
      <w:tr w:rsidR="005D5C66" w:rsidRPr="00136B82" w14:paraId="2231E3A6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521C1234" w14:textId="77777777" w:rsidR="005D5C66" w:rsidRPr="002F6302" w:rsidRDefault="005D5C66" w:rsidP="00D11C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302">
              <w:rPr>
                <w:rFonts w:ascii="Arial" w:hAnsi="Arial" w:cs="Arial"/>
                <w:sz w:val="18"/>
                <w:szCs w:val="18"/>
              </w:rPr>
              <w:t>Tempo massimo di sostituzione del gruppo di misura guasto</w:t>
            </w:r>
            <w:r w:rsidR="00B21A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34" w:type="dxa"/>
            <w:vAlign w:val="center"/>
          </w:tcPr>
          <w:p w14:paraId="19F33480" w14:textId="77777777" w:rsidR="005D5C66" w:rsidRPr="002F6302" w:rsidRDefault="005D5C66" w:rsidP="00136B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F6302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2F6302">
              <w:rPr>
                <w:rFonts w:ascii="Arial" w:hAnsi="Arial" w:cs="Arial"/>
                <w:sz w:val="18"/>
                <w:szCs w:val="18"/>
              </w:rPr>
              <w:t xml:space="preserve"> giorni lavorativi</w:t>
            </w:r>
          </w:p>
        </w:tc>
      </w:tr>
      <w:tr w:rsidR="00B21A53" w:rsidRPr="00136B82" w14:paraId="62EB79DA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6EF72647" w14:textId="77777777" w:rsidR="00B21A53" w:rsidRPr="002F6302" w:rsidRDefault="00B21A53" w:rsidP="00D11C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Tempo massimo di verifica della pressione di fornitura </w:t>
            </w:r>
          </w:p>
        </w:tc>
        <w:tc>
          <w:tcPr>
            <w:tcW w:w="6834" w:type="dxa"/>
            <w:vAlign w:val="center"/>
          </w:tcPr>
          <w:p w14:paraId="1A845CDE" w14:textId="77777777" w:rsidR="00B21A53" w:rsidRPr="002F6302" w:rsidRDefault="00AE7AA6" w:rsidP="00136B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7200A">
              <w:rPr>
                <w:rFonts w:ascii="Arial" w:hAnsi="Arial" w:cs="Arial"/>
                <w:sz w:val="18"/>
                <w:szCs w:val="18"/>
              </w:rPr>
              <w:t>10</w:t>
            </w:r>
            <w:proofErr w:type="gramEnd"/>
            <w:r w:rsidRPr="0037200A">
              <w:rPr>
                <w:rFonts w:ascii="Arial" w:hAnsi="Arial" w:cs="Arial"/>
                <w:sz w:val="18"/>
                <w:szCs w:val="18"/>
              </w:rPr>
              <w:t xml:space="preserve"> giorni lavorativi</w:t>
            </w:r>
          </w:p>
        </w:tc>
      </w:tr>
      <w:tr w:rsidR="00D30818" w:rsidRPr="00136B82" w14:paraId="6DD20B1A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7EAE8BCA" w14:textId="77777777" w:rsidR="00D30818" w:rsidRPr="002F6302" w:rsidRDefault="005D5C66" w:rsidP="00D11C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302">
              <w:rPr>
                <w:rFonts w:ascii="Arial" w:hAnsi="Arial" w:cs="Arial"/>
                <w:sz w:val="18"/>
                <w:szCs w:val="18"/>
              </w:rPr>
              <w:t xml:space="preserve">Tempo massimo di ripristino del valore conforme della pressione di fornitura </w:t>
            </w:r>
          </w:p>
        </w:tc>
        <w:tc>
          <w:tcPr>
            <w:tcW w:w="6834" w:type="dxa"/>
            <w:vAlign w:val="center"/>
          </w:tcPr>
          <w:p w14:paraId="0935BE4B" w14:textId="77777777" w:rsidR="00D30818" w:rsidRPr="002F6302" w:rsidRDefault="005D5C66" w:rsidP="00136B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302">
              <w:rPr>
                <w:rFonts w:ascii="Arial" w:hAnsi="Arial" w:cs="Arial"/>
                <w:sz w:val="18"/>
                <w:szCs w:val="18"/>
              </w:rPr>
              <w:t>1 giorno solare</w:t>
            </w:r>
          </w:p>
        </w:tc>
      </w:tr>
      <w:tr w:rsidR="00D30818" w:rsidRPr="00136B82" w14:paraId="0B9D8C1C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2E00C5B4" w14:textId="77777777" w:rsidR="00D30818" w:rsidRPr="002F6302" w:rsidRDefault="00D30818" w:rsidP="00D11C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302">
              <w:rPr>
                <w:rFonts w:ascii="Arial" w:hAnsi="Arial" w:cs="Arial"/>
                <w:sz w:val="18"/>
                <w:szCs w:val="18"/>
              </w:rPr>
              <w:t xml:space="preserve">Fascia di puntualità per appuntamenti </w:t>
            </w:r>
            <w:r w:rsidR="00B21A53">
              <w:rPr>
                <w:rFonts w:ascii="Arial" w:hAnsi="Arial" w:cs="Arial"/>
                <w:sz w:val="18"/>
                <w:szCs w:val="18"/>
              </w:rPr>
              <w:t>(inclusi gli appuntamenti posticipati</w:t>
            </w:r>
            <w:r w:rsidR="00D11C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34" w:type="dxa"/>
            <w:vAlign w:val="center"/>
          </w:tcPr>
          <w:p w14:paraId="6EAD5B89" w14:textId="77777777" w:rsidR="00D30818" w:rsidRPr="002F6302" w:rsidRDefault="005D5C66" w:rsidP="00136B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F6302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2F6302">
              <w:rPr>
                <w:rFonts w:ascii="Arial" w:hAnsi="Arial" w:cs="Arial"/>
                <w:sz w:val="18"/>
                <w:szCs w:val="18"/>
              </w:rPr>
              <w:t xml:space="preserve"> ore</w:t>
            </w:r>
          </w:p>
        </w:tc>
      </w:tr>
      <w:tr w:rsidR="00614486" w:rsidRPr="00136B82" w14:paraId="7CD962E1" w14:textId="77777777" w:rsidTr="00D11C93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3510" w:type="dxa"/>
            <w:vAlign w:val="center"/>
          </w:tcPr>
          <w:p w14:paraId="3614D308" w14:textId="77777777" w:rsidR="00614486" w:rsidRPr="002F6302" w:rsidRDefault="00AE7AA6" w:rsidP="00A046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00A">
              <w:rPr>
                <w:rFonts w:ascii="Arial" w:hAnsi="Arial" w:cs="Arial"/>
                <w:sz w:val="18"/>
                <w:szCs w:val="18"/>
              </w:rPr>
              <w:t>R</w:t>
            </w:r>
            <w:r w:rsidR="00614486" w:rsidRPr="0037200A">
              <w:rPr>
                <w:rFonts w:ascii="Arial" w:hAnsi="Arial" w:cs="Arial"/>
                <w:sz w:val="18"/>
                <w:szCs w:val="18"/>
              </w:rPr>
              <w:t>accolta</w:t>
            </w:r>
            <w:r w:rsidR="00614486" w:rsidRPr="002F6302">
              <w:rPr>
                <w:rFonts w:ascii="Arial" w:hAnsi="Arial" w:cs="Arial"/>
                <w:sz w:val="18"/>
                <w:szCs w:val="18"/>
              </w:rPr>
              <w:t xml:space="preserve"> della misura in caso di</w:t>
            </w:r>
          </w:p>
          <w:p w14:paraId="57F0B0F9" w14:textId="77777777" w:rsidR="00614486" w:rsidRPr="002F6302" w:rsidRDefault="00614486" w:rsidP="00D11C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302">
              <w:rPr>
                <w:rFonts w:ascii="Arial" w:hAnsi="Arial" w:cs="Arial"/>
                <w:sz w:val="18"/>
                <w:szCs w:val="18"/>
              </w:rPr>
              <w:t>misuratore accessibile</w:t>
            </w:r>
          </w:p>
        </w:tc>
        <w:tc>
          <w:tcPr>
            <w:tcW w:w="6834" w:type="dxa"/>
            <w:vAlign w:val="center"/>
          </w:tcPr>
          <w:p w14:paraId="47C21CD8" w14:textId="77777777" w:rsidR="00614486" w:rsidRPr="002F6302" w:rsidRDefault="0037200A" w:rsidP="00136B8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7200A">
              <w:rPr>
                <w:rFonts w:ascii="Arial" w:hAnsi="Arial" w:cs="Arial"/>
                <w:sz w:val="18"/>
                <w:szCs w:val="18"/>
              </w:rPr>
              <w:t>Per tipologia di cliente secondo l’articolo 14, comma 14.1, del TIVG</w:t>
            </w:r>
          </w:p>
        </w:tc>
      </w:tr>
    </w:tbl>
    <w:p w14:paraId="3AB35ED4" w14:textId="77777777" w:rsidR="00625E10" w:rsidRDefault="00625E10" w:rsidP="008D5ED0">
      <w:pPr>
        <w:rPr>
          <w:rFonts w:ascii="Arial" w:hAnsi="Arial" w:cs="Arial"/>
          <w:sz w:val="19"/>
          <w:szCs w:val="19"/>
        </w:rPr>
      </w:pPr>
    </w:p>
    <w:p w14:paraId="0E49C60F" w14:textId="77777777" w:rsidR="00F26BD3" w:rsidRDefault="00F26BD3" w:rsidP="008D5ED0">
      <w:pPr>
        <w:rPr>
          <w:rFonts w:ascii="Arial" w:hAnsi="Arial" w:cs="Arial"/>
          <w:sz w:val="19"/>
          <w:szCs w:val="19"/>
        </w:rPr>
      </w:pPr>
    </w:p>
    <w:p w14:paraId="3F3FD529" w14:textId="77777777" w:rsidR="00F26BD3" w:rsidRDefault="00F26BD3" w:rsidP="008D5ED0">
      <w:pPr>
        <w:rPr>
          <w:rFonts w:ascii="Arial" w:hAnsi="Arial" w:cs="Arial"/>
          <w:sz w:val="19"/>
          <w:szCs w:val="19"/>
        </w:rPr>
      </w:pPr>
    </w:p>
    <w:p w14:paraId="0EE16A14" w14:textId="77777777" w:rsidR="00F26BD3" w:rsidRDefault="00F26BD3" w:rsidP="008D5ED0">
      <w:pPr>
        <w:rPr>
          <w:rFonts w:ascii="Arial" w:hAnsi="Arial" w:cs="Arial"/>
          <w:sz w:val="19"/>
          <w:szCs w:val="19"/>
        </w:rPr>
      </w:pPr>
    </w:p>
    <w:p w14:paraId="78AF2F1E" w14:textId="77777777" w:rsidR="00F26BD3" w:rsidRDefault="00F26BD3" w:rsidP="008D5ED0">
      <w:pPr>
        <w:rPr>
          <w:rFonts w:ascii="Arial" w:hAnsi="Arial" w:cs="Arial"/>
          <w:sz w:val="19"/>
          <w:szCs w:val="19"/>
        </w:rPr>
      </w:pPr>
    </w:p>
    <w:p w14:paraId="73AF9864" w14:textId="77777777" w:rsidR="00F26BD3" w:rsidRDefault="00F26BD3" w:rsidP="008D5ED0">
      <w:pPr>
        <w:rPr>
          <w:rFonts w:ascii="Arial" w:hAnsi="Arial" w:cs="Arial"/>
          <w:sz w:val="19"/>
          <w:szCs w:val="19"/>
        </w:rPr>
      </w:pPr>
    </w:p>
    <w:p w14:paraId="32763654" w14:textId="77777777" w:rsidR="00F26BD3" w:rsidRDefault="00F26BD3" w:rsidP="008D5ED0">
      <w:pPr>
        <w:rPr>
          <w:rFonts w:ascii="Arial" w:hAnsi="Arial" w:cs="Arial"/>
          <w:sz w:val="19"/>
          <w:szCs w:val="19"/>
        </w:rPr>
      </w:pPr>
    </w:p>
    <w:p w14:paraId="7C0F140C" w14:textId="77777777" w:rsidR="00CD6D38" w:rsidRPr="00CD6D38" w:rsidRDefault="00CD6D38" w:rsidP="00CD6D38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</w:p>
    <w:p w14:paraId="698100E6" w14:textId="77777777" w:rsidR="00F26BD3" w:rsidRPr="002F6302" w:rsidRDefault="00F26BD3" w:rsidP="008D5ED0">
      <w:pPr>
        <w:rPr>
          <w:rFonts w:ascii="Arial" w:hAnsi="Arial" w:cs="Arial"/>
          <w:sz w:val="19"/>
          <w:szCs w:val="19"/>
        </w:rPr>
      </w:pPr>
    </w:p>
    <w:p w14:paraId="150C712B" w14:textId="77777777" w:rsidR="002F6302" w:rsidRDefault="002F6302" w:rsidP="00414B93">
      <w:pPr>
        <w:widowControl w:val="0"/>
        <w:autoSpaceDE w:val="0"/>
        <w:autoSpaceDN w:val="0"/>
        <w:adjustRightInd w:val="0"/>
        <w:spacing w:line="160" w:lineRule="exact"/>
        <w:outlineLvl w:val="0"/>
        <w:rPr>
          <w:rFonts w:ascii="Tahoma" w:hAnsi="Tahoma" w:cs="Tahoma"/>
          <w:b/>
          <w:bCs/>
          <w:spacing w:val="-2"/>
          <w:w w:val="98"/>
          <w:sz w:val="17"/>
          <w:szCs w:val="17"/>
        </w:rPr>
      </w:pPr>
    </w:p>
    <w:p w14:paraId="195E2A88" w14:textId="77777777" w:rsidR="002F6302" w:rsidRDefault="00917469" w:rsidP="00414B93">
      <w:pPr>
        <w:widowControl w:val="0"/>
        <w:autoSpaceDE w:val="0"/>
        <w:autoSpaceDN w:val="0"/>
        <w:adjustRightInd w:val="0"/>
        <w:spacing w:line="160" w:lineRule="exact"/>
        <w:outlineLvl w:val="0"/>
        <w:rPr>
          <w:rFonts w:ascii="Tahoma" w:hAnsi="Tahoma" w:cs="Tahoma"/>
          <w:b/>
          <w:bCs/>
          <w:spacing w:val="-2"/>
          <w:w w:val="98"/>
          <w:sz w:val="17"/>
          <w:szCs w:val="17"/>
        </w:rPr>
      </w:pPr>
      <w:r>
        <w:rPr>
          <w:rFonts w:ascii="Tahoma" w:hAnsi="Tahoma" w:cs="Tahoma"/>
          <w:b/>
          <w:bCs/>
          <w:spacing w:val="-2"/>
          <w:w w:val="98"/>
          <w:sz w:val="17"/>
          <w:szCs w:val="17"/>
        </w:rPr>
        <w:t xml:space="preserve"> </w:t>
      </w:r>
    </w:p>
    <w:p w14:paraId="4C9267D1" w14:textId="77777777" w:rsidR="00255B77" w:rsidRPr="002F6302" w:rsidRDefault="00255B77" w:rsidP="00414B93">
      <w:pPr>
        <w:widowControl w:val="0"/>
        <w:autoSpaceDE w:val="0"/>
        <w:autoSpaceDN w:val="0"/>
        <w:adjustRightInd w:val="0"/>
        <w:spacing w:line="160" w:lineRule="exact"/>
        <w:outlineLvl w:val="0"/>
        <w:rPr>
          <w:rFonts w:ascii="Tahoma" w:hAnsi="Tahoma" w:cs="Tahoma"/>
          <w:b/>
          <w:bCs/>
          <w:spacing w:val="-2"/>
          <w:w w:val="98"/>
          <w:sz w:val="20"/>
          <w:szCs w:val="20"/>
        </w:rPr>
      </w:pPr>
      <w:r w:rsidRPr="002F6302">
        <w:rPr>
          <w:rFonts w:ascii="Tahoma" w:hAnsi="Tahoma" w:cs="Tahoma"/>
          <w:b/>
          <w:bCs/>
          <w:spacing w:val="-2"/>
          <w:w w:val="98"/>
          <w:sz w:val="20"/>
          <w:szCs w:val="20"/>
        </w:rPr>
        <w:t>Livelli specifici di qualità commerciale riferiti al tempo di messa a disposizione del venditore di dati tecnici</w:t>
      </w:r>
    </w:p>
    <w:p w14:paraId="27A5908C" w14:textId="77777777" w:rsidR="00255B77" w:rsidRPr="002A2BB7" w:rsidRDefault="00255B77" w:rsidP="00255B7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Tahoma" w:hAnsi="Tahoma" w:cs="Tahoma"/>
          <w:spacing w:val="-2"/>
          <w:w w:val="98"/>
          <w:sz w:val="17"/>
          <w:szCs w:val="17"/>
          <w:highlight w:val="cyan"/>
        </w:rPr>
      </w:pPr>
    </w:p>
    <w:tbl>
      <w:tblPr>
        <w:tblW w:w="887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2602"/>
        <w:gridCol w:w="2126"/>
      </w:tblGrid>
      <w:tr w:rsidR="0037200A" w:rsidRPr="00136B82" w14:paraId="12876D17" w14:textId="77777777" w:rsidTr="0037200A">
        <w:trPr>
          <w:trHeight w:val="318"/>
        </w:trPr>
        <w:tc>
          <w:tcPr>
            <w:tcW w:w="4149" w:type="dxa"/>
            <w:shd w:val="clear" w:color="auto" w:fill="CCCCCC"/>
            <w:vAlign w:val="center"/>
          </w:tcPr>
          <w:p w14:paraId="15A7199D" w14:textId="77777777" w:rsidR="0037200A" w:rsidRPr="00A04623" w:rsidRDefault="0037200A" w:rsidP="00A04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623">
              <w:rPr>
                <w:rFonts w:ascii="Arial" w:hAnsi="Arial" w:cs="Arial"/>
                <w:b/>
                <w:sz w:val="16"/>
                <w:szCs w:val="16"/>
              </w:rPr>
              <w:t xml:space="preserve">Tipologia </w:t>
            </w:r>
            <w:r w:rsidRPr="0037200A">
              <w:rPr>
                <w:rFonts w:ascii="Arial" w:hAnsi="Arial" w:cs="Arial"/>
                <w:b/>
                <w:sz w:val="16"/>
                <w:szCs w:val="16"/>
              </w:rPr>
              <w:t>di</w:t>
            </w:r>
            <w:r w:rsidRPr="00A04623">
              <w:rPr>
                <w:rFonts w:ascii="Arial" w:hAnsi="Arial" w:cs="Arial"/>
                <w:b/>
                <w:sz w:val="16"/>
                <w:szCs w:val="16"/>
              </w:rPr>
              <w:t xml:space="preserve"> dati tecnici </w:t>
            </w:r>
            <w:r w:rsidRPr="0037200A">
              <w:rPr>
                <w:rFonts w:ascii="Arial" w:hAnsi="Arial" w:cs="Arial"/>
                <w:b/>
                <w:sz w:val="16"/>
                <w:szCs w:val="16"/>
              </w:rPr>
              <w:t>richiesti</w:t>
            </w:r>
          </w:p>
        </w:tc>
        <w:tc>
          <w:tcPr>
            <w:tcW w:w="2602" w:type="dxa"/>
            <w:shd w:val="clear" w:color="auto" w:fill="CCCCCC"/>
            <w:vAlign w:val="center"/>
          </w:tcPr>
          <w:p w14:paraId="468E4BD7" w14:textId="77777777" w:rsidR="0037200A" w:rsidRPr="00A04623" w:rsidRDefault="0037200A" w:rsidP="00A046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Motivazione richiesta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5C004C99" w14:textId="77777777" w:rsidR="0037200A" w:rsidRPr="0037200A" w:rsidRDefault="0037200A" w:rsidP="00372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Livello specifico</w:t>
            </w:r>
          </w:p>
        </w:tc>
      </w:tr>
      <w:tr w:rsidR="0037200A" w:rsidRPr="00A04623" w14:paraId="546F3436" w14:textId="77777777" w:rsidTr="0037200A">
        <w:trPr>
          <w:trHeight w:val="1051"/>
        </w:trPr>
        <w:tc>
          <w:tcPr>
            <w:tcW w:w="4149" w:type="dxa"/>
            <w:vAlign w:val="center"/>
          </w:tcPr>
          <w:p w14:paraId="7070C738" w14:textId="77777777" w:rsidR="0037200A" w:rsidRPr="00A04623" w:rsidRDefault="0037200A" w:rsidP="00A046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04623">
              <w:rPr>
                <w:rFonts w:ascii="Arial" w:hAnsi="Arial" w:cs="Arial"/>
                <w:sz w:val="18"/>
                <w:szCs w:val="18"/>
              </w:rPr>
              <w:t>ati tecnici acquisibili con lettura di un gruppo di misura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02" w:type="dxa"/>
            <w:vAlign w:val="center"/>
          </w:tcPr>
          <w:p w14:paraId="3197B491" w14:textId="77777777" w:rsidR="0037200A" w:rsidRPr="00A04623" w:rsidRDefault="0037200A" w:rsidP="00D11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Reclami e richieste di informazioni scritti o procedura di conciliazione paritetica</w:t>
            </w:r>
          </w:p>
        </w:tc>
        <w:tc>
          <w:tcPr>
            <w:tcW w:w="2126" w:type="dxa"/>
            <w:vAlign w:val="center"/>
          </w:tcPr>
          <w:p w14:paraId="23F6F705" w14:textId="77777777" w:rsidR="0037200A" w:rsidRPr="00A04623" w:rsidRDefault="0037200A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giorni lavorativi</w:t>
            </w:r>
          </w:p>
        </w:tc>
      </w:tr>
      <w:tr w:rsidR="0037200A" w:rsidRPr="00A04623" w14:paraId="4D3BBD14" w14:textId="77777777" w:rsidTr="0037200A">
        <w:trPr>
          <w:trHeight w:val="981"/>
        </w:trPr>
        <w:tc>
          <w:tcPr>
            <w:tcW w:w="4149" w:type="dxa"/>
            <w:vAlign w:val="center"/>
          </w:tcPr>
          <w:p w14:paraId="4932DAB3" w14:textId="77777777" w:rsidR="0037200A" w:rsidRPr="00A04623" w:rsidRDefault="0037200A" w:rsidP="00A046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04623">
              <w:rPr>
                <w:rFonts w:ascii="Arial" w:hAnsi="Arial" w:cs="Arial"/>
                <w:sz w:val="18"/>
                <w:szCs w:val="18"/>
              </w:rPr>
              <w:t>ltri dati tecnici</w:t>
            </w:r>
          </w:p>
        </w:tc>
        <w:tc>
          <w:tcPr>
            <w:tcW w:w="2602" w:type="dxa"/>
            <w:vAlign w:val="center"/>
          </w:tcPr>
          <w:p w14:paraId="3EFCF220" w14:textId="77777777" w:rsidR="0037200A" w:rsidRPr="00A04623" w:rsidRDefault="0037200A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Reclami e richieste di informazioni scritti o procedura di conciliazione paritetica</w:t>
            </w:r>
          </w:p>
        </w:tc>
        <w:tc>
          <w:tcPr>
            <w:tcW w:w="2126" w:type="dxa"/>
            <w:vAlign w:val="center"/>
          </w:tcPr>
          <w:p w14:paraId="08E17B16" w14:textId="77777777" w:rsidR="0037200A" w:rsidRPr="00A04623" w:rsidRDefault="0037200A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giorni lavorativi</w:t>
            </w:r>
          </w:p>
        </w:tc>
      </w:tr>
      <w:tr w:rsidR="0037200A" w:rsidRPr="00A04623" w14:paraId="08C413A0" w14:textId="77777777" w:rsidTr="0037200A">
        <w:trPr>
          <w:trHeight w:val="982"/>
        </w:trPr>
        <w:tc>
          <w:tcPr>
            <w:tcW w:w="4149" w:type="dxa"/>
            <w:vAlign w:val="center"/>
          </w:tcPr>
          <w:p w14:paraId="07D18A0D" w14:textId="77777777" w:rsidR="0037200A" w:rsidRPr="00A04623" w:rsidRDefault="0037200A" w:rsidP="00D11C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04623">
              <w:rPr>
                <w:rFonts w:ascii="Arial" w:hAnsi="Arial" w:cs="Arial"/>
                <w:sz w:val="18"/>
                <w:szCs w:val="18"/>
              </w:rPr>
              <w:t xml:space="preserve">ltri dati tecnici </w:t>
            </w:r>
            <w:r>
              <w:rPr>
                <w:rFonts w:ascii="Arial" w:hAnsi="Arial" w:cs="Arial"/>
                <w:sz w:val="18"/>
                <w:szCs w:val="18"/>
              </w:rPr>
              <w:t>complessi</w:t>
            </w:r>
            <w:r w:rsidRPr="00A04623">
              <w:rPr>
                <w:rFonts w:ascii="Arial" w:hAnsi="Arial" w:cs="Arial"/>
                <w:sz w:val="18"/>
                <w:szCs w:val="18"/>
              </w:rPr>
              <w:t xml:space="preserve"> (che prevedano un sopralluogo)</w:t>
            </w:r>
          </w:p>
        </w:tc>
        <w:tc>
          <w:tcPr>
            <w:tcW w:w="2602" w:type="dxa"/>
            <w:vAlign w:val="center"/>
          </w:tcPr>
          <w:p w14:paraId="0CA9C9C6" w14:textId="77777777" w:rsidR="0037200A" w:rsidRPr="00A04623" w:rsidRDefault="0037200A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Reclami e richieste di informazioni scritti o procedura di conciliazione paritetica</w:t>
            </w:r>
          </w:p>
        </w:tc>
        <w:tc>
          <w:tcPr>
            <w:tcW w:w="2126" w:type="dxa"/>
            <w:vAlign w:val="center"/>
          </w:tcPr>
          <w:p w14:paraId="68AE7B7B" w14:textId="77777777" w:rsidR="0037200A" w:rsidRPr="00A04623" w:rsidRDefault="0037200A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giorni lavorativi</w:t>
            </w:r>
          </w:p>
        </w:tc>
      </w:tr>
    </w:tbl>
    <w:p w14:paraId="653190DA" w14:textId="77777777" w:rsidR="00255B77" w:rsidRPr="002F6302" w:rsidRDefault="00255B77" w:rsidP="008D5ED0">
      <w:pPr>
        <w:rPr>
          <w:rFonts w:ascii="Arial" w:hAnsi="Arial" w:cs="Arial"/>
          <w:sz w:val="18"/>
          <w:szCs w:val="18"/>
        </w:rPr>
      </w:pPr>
    </w:p>
    <w:p w14:paraId="398EF016" w14:textId="77777777" w:rsidR="00255B77" w:rsidRPr="008B33EF" w:rsidRDefault="00255B77" w:rsidP="008D5ED0">
      <w:pPr>
        <w:rPr>
          <w:rFonts w:ascii="Arial" w:hAnsi="Arial" w:cs="Arial"/>
          <w:sz w:val="19"/>
          <w:szCs w:val="19"/>
        </w:rPr>
      </w:pPr>
    </w:p>
    <w:p w14:paraId="3B9D3D41" w14:textId="77777777" w:rsidR="008B33EF" w:rsidRPr="00306F4F" w:rsidRDefault="00D44E7B" w:rsidP="00625E10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306F4F">
        <w:rPr>
          <w:rFonts w:ascii="Arial" w:hAnsi="Arial" w:cs="Arial"/>
          <w:i/>
          <w:sz w:val="16"/>
          <w:szCs w:val="16"/>
        </w:rPr>
        <w:t xml:space="preserve">Note: </w:t>
      </w:r>
      <w:r w:rsidRPr="00306F4F">
        <w:rPr>
          <w:rFonts w:ascii="Arial" w:hAnsi="Arial" w:cs="Arial"/>
          <w:i/>
          <w:sz w:val="16"/>
          <w:szCs w:val="16"/>
        </w:rPr>
        <w:tab/>
      </w:r>
      <w:r w:rsidR="008B33EF" w:rsidRPr="00306F4F">
        <w:rPr>
          <w:rFonts w:ascii="Arial" w:hAnsi="Arial" w:cs="Arial"/>
          <w:i/>
          <w:sz w:val="16"/>
          <w:szCs w:val="16"/>
        </w:rPr>
        <w:t>“livello specifico di qualità” è il livello di qualità, riferito alla singola prestazione, da garantire al richiedente;</w:t>
      </w:r>
    </w:p>
    <w:p w14:paraId="1A43C879" w14:textId="77777777" w:rsidR="008B33EF" w:rsidRPr="00306F4F" w:rsidRDefault="008B33EF" w:rsidP="008B33EF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16"/>
          <w:szCs w:val="16"/>
        </w:rPr>
      </w:pPr>
      <w:r w:rsidRPr="00306F4F">
        <w:rPr>
          <w:rFonts w:ascii="Arial" w:hAnsi="Arial" w:cs="Arial"/>
          <w:i/>
          <w:sz w:val="16"/>
          <w:szCs w:val="16"/>
        </w:rPr>
        <w:t>ad ogni livello specifico si applica la disciplina degli indennizzi automatici;</w:t>
      </w:r>
    </w:p>
    <w:p w14:paraId="356E85FA" w14:textId="77777777" w:rsidR="008B33EF" w:rsidRPr="00306F4F" w:rsidRDefault="008B33EF" w:rsidP="008B33EF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16"/>
          <w:szCs w:val="16"/>
        </w:rPr>
      </w:pPr>
    </w:p>
    <w:p w14:paraId="6C168E40" w14:textId="77777777" w:rsidR="00625E10" w:rsidRPr="00306F4F" w:rsidRDefault="00625E10" w:rsidP="008B33EF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16"/>
          <w:szCs w:val="16"/>
        </w:rPr>
      </w:pPr>
      <w:r w:rsidRPr="00306F4F">
        <w:rPr>
          <w:rFonts w:ascii="Arial" w:hAnsi="Arial" w:cs="Arial"/>
          <w:i/>
          <w:sz w:val="16"/>
          <w:szCs w:val="16"/>
        </w:rPr>
        <w:t>giorni</w:t>
      </w:r>
      <w:r w:rsidR="00D44E7B" w:rsidRPr="00306F4F">
        <w:rPr>
          <w:rFonts w:ascii="Arial" w:hAnsi="Arial" w:cs="Arial"/>
          <w:i/>
          <w:sz w:val="16"/>
          <w:szCs w:val="16"/>
        </w:rPr>
        <w:t xml:space="preserve"> </w:t>
      </w:r>
      <w:r w:rsidRPr="00306F4F">
        <w:rPr>
          <w:rFonts w:ascii="Arial" w:hAnsi="Arial" w:cs="Arial"/>
          <w:i/>
          <w:sz w:val="16"/>
          <w:szCs w:val="16"/>
        </w:rPr>
        <w:t>l</w:t>
      </w:r>
      <w:r w:rsidR="00D44E7B" w:rsidRPr="00306F4F">
        <w:rPr>
          <w:rFonts w:ascii="Arial" w:hAnsi="Arial" w:cs="Arial"/>
          <w:i/>
          <w:sz w:val="16"/>
          <w:szCs w:val="16"/>
        </w:rPr>
        <w:t xml:space="preserve">avorativi: da </w:t>
      </w:r>
      <w:r w:rsidRPr="00306F4F">
        <w:rPr>
          <w:rFonts w:ascii="Arial" w:hAnsi="Arial" w:cs="Arial"/>
          <w:i/>
          <w:sz w:val="16"/>
          <w:szCs w:val="16"/>
        </w:rPr>
        <w:t>lunedì al venerdì, escluse le festività infrasettimanali;</w:t>
      </w:r>
    </w:p>
    <w:p w14:paraId="385C2390" w14:textId="77777777" w:rsidR="00625E10" w:rsidRPr="00306F4F" w:rsidRDefault="00625E10" w:rsidP="00D44E7B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16"/>
          <w:szCs w:val="16"/>
        </w:rPr>
      </w:pPr>
      <w:r w:rsidRPr="00306F4F">
        <w:rPr>
          <w:rFonts w:ascii="Arial" w:hAnsi="Arial" w:cs="Arial"/>
          <w:i/>
          <w:sz w:val="16"/>
          <w:szCs w:val="16"/>
        </w:rPr>
        <w:t>giorni feriali: dal</w:t>
      </w:r>
      <w:r w:rsidR="00D44E7B" w:rsidRPr="00306F4F">
        <w:rPr>
          <w:rFonts w:ascii="Arial" w:hAnsi="Arial" w:cs="Arial"/>
          <w:i/>
          <w:sz w:val="16"/>
          <w:szCs w:val="16"/>
        </w:rPr>
        <w:t xml:space="preserve"> </w:t>
      </w:r>
      <w:r w:rsidRPr="00306F4F">
        <w:rPr>
          <w:rFonts w:ascii="Arial" w:hAnsi="Arial" w:cs="Arial"/>
          <w:i/>
          <w:sz w:val="16"/>
          <w:szCs w:val="16"/>
        </w:rPr>
        <w:t xml:space="preserve">lunedì al sabato, escluse </w:t>
      </w:r>
      <w:r w:rsidR="00D44E7B" w:rsidRPr="00306F4F">
        <w:rPr>
          <w:rFonts w:ascii="Arial" w:hAnsi="Arial" w:cs="Arial"/>
          <w:i/>
          <w:sz w:val="16"/>
          <w:szCs w:val="16"/>
        </w:rPr>
        <w:t>le festività</w:t>
      </w:r>
      <w:r w:rsidRPr="00306F4F">
        <w:rPr>
          <w:rFonts w:ascii="Arial" w:hAnsi="Arial" w:cs="Arial"/>
          <w:i/>
          <w:sz w:val="16"/>
          <w:szCs w:val="16"/>
        </w:rPr>
        <w:t xml:space="preserve"> infrasettimanali.</w:t>
      </w:r>
    </w:p>
    <w:p w14:paraId="41CD1DF5" w14:textId="77777777" w:rsidR="00D44E7B" w:rsidRPr="00306F4F" w:rsidRDefault="00D44E7B" w:rsidP="00625E10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75032741" w14:textId="77777777" w:rsidR="00625E10" w:rsidRDefault="008B33EF" w:rsidP="00414B9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sz w:val="16"/>
          <w:szCs w:val="16"/>
        </w:rPr>
      </w:pPr>
      <w:r w:rsidRPr="00306F4F">
        <w:rPr>
          <w:rFonts w:ascii="Arial" w:hAnsi="Arial" w:cs="Arial"/>
          <w:i/>
          <w:sz w:val="16"/>
          <w:szCs w:val="16"/>
        </w:rPr>
        <w:t xml:space="preserve">Il </w:t>
      </w:r>
      <w:r w:rsidR="00625E10" w:rsidRPr="00306F4F">
        <w:rPr>
          <w:rFonts w:ascii="Arial" w:hAnsi="Arial" w:cs="Arial"/>
          <w:i/>
          <w:sz w:val="16"/>
          <w:szCs w:val="16"/>
        </w:rPr>
        <w:t xml:space="preserve">calcolo del tempo effettivo </w:t>
      </w:r>
      <w:r w:rsidRPr="00306F4F">
        <w:rPr>
          <w:rFonts w:ascii="Arial" w:hAnsi="Arial" w:cs="Arial"/>
          <w:i/>
          <w:sz w:val="16"/>
          <w:szCs w:val="16"/>
        </w:rPr>
        <w:t>di esecuzione della prestazione</w:t>
      </w:r>
      <w:r w:rsidR="00625E10" w:rsidRPr="00306F4F">
        <w:rPr>
          <w:rFonts w:ascii="Arial" w:hAnsi="Arial" w:cs="Arial"/>
          <w:i/>
          <w:sz w:val="16"/>
          <w:szCs w:val="16"/>
        </w:rPr>
        <w:t xml:space="preserve"> soggetta a livelli specifici di qualità commerciale decorre dal </w:t>
      </w:r>
      <w:r w:rsidR="00D44E7B" w:rsidRPr="00306F4F">
        <w:rPr>
          <w:rFonts w:ascii="Arial" w:hAnsi="Arial" w:cs="Arial"/>
          <w:i/>
          <w:sz w:val="16"/>
          <w:szCs w:val="16"/>
        </w:rPr>
        <w:t>giorn</w:t>
      </w:r>
      <w:r w:rsidR="00625E10" w:rsidRPr="00306F4F">
        <w:rPr>
          <w:rFonts w:ascii="Arial" w:hAnsi="Arial" w:cs="Arial"/>
          <w:i/>
          <w:sz w:val="16"/>
          <w:szCs w:val="16"/>
        </w:rPr>
        <w:t>o</w:t>
      </w:r>
      <w:r w:rsidR="00D44E7B" w:rsidRPr="00306F4F">
        <w:rPr>
          <w:rFonts w:ascii="Arial" w:hAnsi="Arial" w:cs="Arial"/>
          <w:i/>
          <w:sz w:val="16"/>
          <w:szCs w:val="16"/>
        </w:rPr>
        <w:t xml:space="preserve"> </w:t>
      </w:r>
      <w:r w:rsidR="00625E10" w:rsidRPr="00306F4F">
        <w:rPr>
          <w:rFonts w:ascii="Arial" w:hAnsi="Arial" w:cs="Arial"/>
          <w:i/>
          <w:sz w:val="16"/>
          <w:szCs w:val="16"/>
        </w:rPr>
        <w:t xml:space="preserve">successivo </w:t>
      </w:r>
      <w:r w:rsidR="00D44E7B" w:rsidRPr="00306F4F">
        <w:rPr>
          <w:rFonts w:ascii="Arial" w:hAnsi="Arial" w:cs="Arial"/>
          <w:i/>
          <w:sz w:val="16"/>
          <w:szCs w:val="16"/>
        </w:rPr>
        <w:t>al ricevimento della richiesta</w:t>
      </w:r>
      <w:r w:rsidR="00625E10" w:rsidRPr="00306F4F">
        <w:rPr>
          <w:rFonts w:ascii="Arial" w:hAnsi="Arial" w:cs="Arial"/>
          <w:i/>
          <w:sz w:val="16"/>
          <w:szCs w:val="16"/>
        </w:rPr>
        <w:t xml:space="preserve"> da parte di </w:t>
      </w:r>
      <w:r w:rsidR="009B3B92">
        <w:rPr>
          <w:rFonts w:ascii="Arial" w:hAnsi="Arial" w:cs="Arial"/>
          <w:i/>
          <w:sz w:val="16"/>
          <w:szCs w:val="16"/>
        </w:rPr>
        <w:t>Toscana Energia</w:t>
      </w:r>
      <w:r w:rsidR="00625E10" w:rsidRPr="00306F4F">
        <w:rPr>
          <w:rFonts w:ascii="Arial" w:hAnsi="Arial" w:cs="Arial"/>
          <w:i/>
          <w:sz w:val="16"/>
          <w:szCs w:val="16"/>
        </w:rPr>
        <w:t xml:space="preserve"> S.p.A. ed esclude eventuali tempi da questa non dipendenti (ad es. tempi</w:t>
      </w:r>
      <w:r w:rsidR="00D44E7B" w:rsidRPr="00306F4F">
        <w:rPr>
          <w:rFonts w:ascii="Arial" w:hAnsi="Arial" w:cs="Arial"/>
          <w:i/>
          <w:sz w:val="16"/>
          <w:szCs w:val="16"/>
        </w:rPr>
        <w:t xml:space="preserve"> </w:t>
      </w:r>
      <w:r w:rsidR="00625E10" w:rsidRPr="00306F4F">
        <w:rPr>
          <w:rFonts w:ascii="Arial" w:hAnsi="Arial" w:cs="Arial"/>
          <w:i/>
          <w:sz w:val="16"/>
          <w:szCs w:val="16"/>
        </w:rPr>
        <w:t xml:space="preserve">di ottenimento di atti </w:t>
      </w:r>
      <w:r w:rsidR="00D44E7B" w:rsidRPr="00306F4F">
        <w:rPr>
          <w:rFonts w:ascii="Arial" w:hAnsi="Arial" w:cs="Arial"/>
          <w:i/>
          <w:sz w:val="16"/>
          <w:szCs w:val="16"/>
        </w:rPr>
        <w:t>autorizzativi,</w:t>
      </w:r>
      <w:r w:rsidR="00625E10" w:rsidRPr="00306F4F">
        <w:rPr>
          <w:rFonts w:ascii="Arial" w:hAnsi="Arial" w:cs="Arial"/>
          <w:i/>
          <w:sz w:val="16"/>
          <w:szCs w:val="16"/>
        </w:rPr>
        <w:t xml:space="preserve"> opere a cura di terzi</w:t>
      </w:r>
      <w:r w:rsidR="00D44E7B" w:rsidRPr="00306F4F">
        <w:rPr>
          <w:rFonts w:ascii="Arial" w:hAnsi="Arial" w:cs="Arial"/>
          <w:i/>
          <w:sz w:val="16"/>
          <w:szCs w:val="16"/>
        </w:rPr>
        <w:t>,</w:t>
      </w:r>
      <w:r w:rsidR="00D30818" w:rsidRPr="00306F4F">
        <w:rPr>
          <w:rFonts w:ascii="Arial" w:hAnsi="Arial" w:cs="Arial"/>
          <w:i/>
          <w:sz w:val="16"/>
          <w:szCs w:val="16"/>
        </w:rPr>
        <w:t xml:space="preserve"> tempo di posticipazione degli appuntamenti su richiesta del richiedente</w:t>
      </w:r>
      <w:r w:rsidR="0037200A">
        <w:rPr>
          <w:rFonts w:ascii="Arial" w:hAnsi="Arial" w:cs="Arial"/>
          <w:i/>
          <w:sz w:val="16"/>
          <w:szCs w:val="16"/>
        </w:rPr>
        <w:t>..</w:t>
      </w:r>
      <w:r w:rsidR="00625E10" w:rsidRPr="00306F4F">
        <w:rPr>
          <w:rFonts w:ascii="Arial" w:hAnsi="Arial" w:cs="Arial"/>
          <w:i/>
          <w:sz w:val="16"/>
          <w:szCs w:val="16"/>
        </w:rPr>
        <w:t>.)</w:t>
      </w:r>
    </w:p>
    <w:p w14:paraId="1505CDFF" w14:textId="77777777" w:rsidR="00414B93" w:rsidRDefault="00414B93" w:rsidP="00414B9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1ABC59F9" w14:textId="77777777" w:rsidR="002F6302" w:rsidRPr="00D11C93" w:rsidRDefault="00C93C40" w:rsidP="00D11C9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Per “</w:t>
      </w:r>
      <w:r w:rsidR="00414B93" w:rsidRPr="00414B93">
        <w:rPr>
          <w:rFonts w:ascii="Arial" w:hAnsi="Arial" w:cs="Arial"/>
          <w:i/>
          <w:sz w:val="16"/>
          <w:szCs w:val="16"/>
        </w:rPr>
        <w:t>dati tecnici</w:t>
      </w:r>
      <w:r>
        <w:rPr>
          <w:rFonts w:ascii="Arial" w:hAnsi="Arial" w:cs="Arial"/>
          <w:i/>
          <w:sz w:val="16"/>
          <w:szCs w:val="16"/>
        </w:rPr>
        <w:t>”</w:t>
      </w:r>
      <w:r w:rsidR="00414B93" w:rsidRPr="00414B93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si intendono</w:t>
      </w:r>
      <w:r w:rsidR="00414B93" w:rsidRPr="00414B93">
        <w:rPr>
          <w:rFonts w:ascii="Arial" w:hAnsi="Arial" w:cs="Arial"/>
          <w:i/>
          <w:sz w:val="16"/>
          <w:szCs w:val="16"/>
        </w:rPr>
        <w:t xml:space="preserve"> </w:t>
      </w:r>
      <w:r w:rsidR="00D11C93" w:rsidRPr="00D11C93">
        <w:rPr>
          <w:rFonts w:ascii="Arial" w:hAnsi="Arial" w:cs="Arial"/>
          <w:i/>
          <w:sz w:val="16"/>
          <w:szCs w:val="16"/>
        </w:rPr>
        <w:t>le informazioni e/o i dati in possesso del distributore necessari al venditore per inviare al cliente finale la risposta motivata scritta a un reclamo scritto, o a una richiesta scritta di informazioni o per effettuare una rettifica di fatturazione, o per rispondere ad un reclamo o a una richiesta di informazioni formulati dal cliente per telefono, o nell’ambito di una procedura di conciliazione paritetica</w:t>
      </w:r>
    </w:p>
    <w:p w14:paraId="46D470FC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EFF50FB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3D29A6F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17B415B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0872045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AEDB33C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01D92B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F50E55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337FD7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BC0DFC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8713CD6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37B1BD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2AA6AE3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D36E64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03EC9B2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CC8390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7DFF33F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58379BF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FE287A1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079ECE7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082235A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B92E779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C6D423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FC53D7B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D49C88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85E932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4FEA33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BD8617E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7211D1A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C6651E1" w14:textId="77777777" w:rsidR="008B33EF" w:rsidRDefault="00625E10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33EF">
        <w:rPr>
          <w:rFonts w:ascii="Arial" w:hAnsi="Arial" w:cs="Arial"/>
          <w:sz w:val="20"/>
          <w:szCs w:val="20"/>
        </w:rPr>
        <w:t>Nel caso in cui i livelli specifici di qualità non siano rispettati</w:t>
      </w:r>
      <w:r w:rsidR="00D11C93">
        <w:rPr>
          <w:rFonts w:ascii="Arial" w:hAnsi="Arial" w:cs="Arial"/>
          <w:sz w:val="20"/>
          <w:szCs w:val="20"/>
        </w:rPr>
        <w:t>,</w:t>
      </w:r>
      <w:r w:rsidRPr="008B33EF">
        <w:rPr>
          <w:rFonts w:ascii="Arial" w:hAnsi="Arial" w:cs="Arial"/>
          <w:sz w:val="20"/>
          <w:szCs w:val="20"/>
        </w:rPr>
        <w:t xml:space="preserve"> </w:t>
      </w:r>
      <w:r w:rsidR="006A0150">
        <w:rPr>
          <w:rFonts w:ascii="Arial" w:hAnsi="Arial" w:cs="Arial"/>
          <w:sz w:val="20"/>
          <w:szCs w:val="20"/>
        </w:rPr>
        <w:t>Toscana Energia</w:t>
      </w:r>
      <w:r w:rsidRPr="008B33EF">
        <w:rPr>
          <w:rFonts w:ascii="Arial" w:hAnsi="Arial" w:cs="Arial"/>
          <w:sz w:val="20"/>
          <w:szCs w:val="20"/>
        </w:rPr>
        <w:t xml:space="preserve"> S.p.A.</w:t>
      </w:r>
      <w:r w:rsidR="00D44E7B" w:rsidRPr="008B33EF">
        <w:rPr>
          <w:rFonts w:ascii="Arial" w:hAnsi="Arial" w:cs="Arial"/>
          <w:sz w:val="20"/>
          <w:szCs w:val="20"/>
        </w:rPr>
        <w:t xml:space="preserve"> </w:t>
      </w:r>
      <w:r w:rsidR="008B33EF" w:rsidRPr="008B33EF">
        <w:rPr>
          <w:rFonts w:ascii="Arial" w:hAnsi="Arial" w:cs="Arial"/>
          <w:sz w:val="20"/>
          <w:szCs w:val="20"/>
        </w:rPr>
        <w:t xml:space="preserve">provvede al pagamento dell’indennizzo in modo automatico, </w:t>
      </w:r>
      <w:r w:rsidRPr="008B33EF">
        <w:rPr>
          <w:rFonts w:ascii="Arial" w:hAnsi="Arial" w:cs="Arial"/>
          <w:sz w:val="20"/>
          <w:szCs w:val="20"/>
        </w:rPr>
        <w:t xml:space="preserve">senza </w:t>
      </w:r>
      <w:r w:rsidR="008B33EF">
        <w:rPr>
          <w:rFonts w:ascii="Arial" w:hAnsi="Arial" w:cs="Arial"/>
          <w:sz w:val="20"/>
          <w:szCs w:val="20"/>
        </w:rPr>
        <w:t>necessità di specifica richiesta.</w:t>
      </w:r>
      <w:r w:rsidRPr="008B33EF">
        <w:rPr>
          <w:rFonts w:ascii="Arial" w:hAnsi="Arial" w:cs="Arial"/>
          <w:sz w:val="20"/>
          <w:szCs w:val="20"/>
        </w:rPr>
        <w:t xml:space="preserve"> </w:t>
      </w:r>
      <w:r w:rsidR="00D30818">
        <w:rPr>
          <w:rFonts w:ascii="Arial" w:hAnsi="Arial" w:cs="Arial"/>
          <w:sz w:val="20"/>
          <w:szCs w:val="20"/>
        </w:rPr>
        <w:t xml:space="preserve">Sono esclusi dal diritto all’indennizzo i casi di mancato rispetto dovuto a cause di </w:t>
      </w:r>
      <w:r w:rsidR="00D30818" w:rsidRPr="008B33EF">
        <w:rPr>
          <w:rFonts w:ascii="Arial" w:hAnsi="Arial" w:cs="Arial"/>
          <w:sz w:val="20"/>
          <w:szCs w:val="20"/>
        </w:rPr>
        <w:t xml:space="preserve">forza maggiore o a responsabilità di terzi o </w:t>
      </w:r>
      <w:r w:rsidR="00D30818" w:rsidRPr="00D30818">
        <w:rPr>
          <w:rFonts w:ascii="Arial" w:hAnsi="Arial" w:cs="Arial"/>
          <w:sz w:val="20"/>
          <w:szCs w:val="20"/>
        </w:rPr>
        <w:t>del cliente finale</w:t>
      </w:r>
      <w:r w:rsidR="00D11C93">
        <w:rPr>
          <w:rFonts w:ascii="Arial" w:hAnsi="Arial" w:cs="Arial"/>
          <w:sz w:val="20"/>
          <w:szCs w:val="20"/>
        </w:rPr>
        <w:t>.</w:t>
      </w:r>
    </w:p>
    <w:p w14:paraId="4C5FD9A3" w14:textId="77777777" w:rsidR="00DA740F" w:rsidRDefault="00DA740F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42D2533" w14:textId="77777777" w:rsidR="008D5ED0" w:rsidRDefault="008B33EF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33EF">
        <w:rPr>
          <w:rFonts w:ascii="Arial" w:hAnsi="Arial" w:cs="Arial"/>
          <w:sz w:val="20"/>
          <w:szCs w:val="20"/>
        </w:rPr>
        <w:t>Nell</w:t>
      </w:r>
      <w:r w:rsidR="001657B5">
        <w:rPr>
          <w:rFonts w:ascii="Arial" w:hAnsi="Arial" w:cs="Arial"/>
          <w:sz w:val="20"/>
          <w:szCs w:val="20"/>
        </w:rPr>
        <w:t>e</w:t>
      </w:r>
      <w:r w:rsidRPr="008B33EF">
        <w:rPr>
          <w:rFonts w:ascii="Arial" w:hAnsi="Arial" w:cs="Arial"/>
          <w:sz w:val="20"/>
          <w:szCs w:val="20"/>
        </w:rPr>
        <w:t xml:space="preserve"> </w:t>
      </w:r>
      <w:r w:rsidR="00460666" w:rsidRPr="008B33EF">
        <w:rPr>
          <w:rFonts w:ascii="Arial" w:hAnsi="Arial" w:cs="Arial"/>
          <w:sz w:val="20"/>
          <w:szCs w:val="20"/>
        </w:rPr>
        <w:t>tabell</w:t>
      </w:r>
      <w:r w:rsidR="00460666">
        <w:rPr>
          <w:rFonts w:ascii="Arial" w:hAnsi="Arial" w:cs="Arial"/>
          <w:sz w:val="20"/>
          <w:szCs w:val="20"/>
        </w:rPr>
        <w:t>e</w:t>
      </w:r>
      <w:r w:rsidR="00460666" w:rsidRPr="008B33EF">
        <w:rPr>
          <w:rFonts w:ascii="Arial" w:hAnsi="Arial" w:cs="Arial"/>
          <w:sz w:val="20"/>
          <w:szCs w:val="20"/>
        </w:rPr>
        <w:t xml:space="preserve"> seguent</w:t>
      </w:r>
      <w:r w:rsidR="00460666">
        <w:rPr>
          <w:rFonts w:ascii="Arial" w:hAnsi="Arial" w:cs="Arial"/>
          <w:sz w:val="20"/>
          <w:szCs w:val="20"/>
        </w:rPr>
        <w:t>i</w:t>
      </w:r>
      <w:r w:rsidR="00460666" w:rsidRPr="008B33EF">
        <w:rPr>
          <w:rFonts w:ascii="Arial" w:hAnsi="Arial" w:cs="Arial"/>
          <w:sz w:val="20"/>
          <w:szCs w:val="20"/>
        </w:rPr>
        <w:t xml:space="preserve"> </w:t>
      </w:r>
      <w:r w:rsidRPr="008B33EF">
        <w:rPr>
          <w:rFonts w:ascii="Arial" w:hAnsi="Arial" w:cs="Arial"/>
          <w:sz w:val="20"/>
          <w:szCs w:val="20"/>
        </w:rPr>
        <w:t xml:space="preserve">sono riportati </w:t>
      </w:r>
      <w:r w:rsidR="00625E10" w:rsidRPr="008B33EF">
        <w:rPr>
          <w:rFonts w:ascii="Arial" w:hAnsi="Arial" w:cs="Arial"/>
          <w:sz w:val="20"/>
          <w:szCs w:val="20"/>
        </w:rPr>
        <w:t>i valori</w:t>
      </w:r>
      <w:r w:rsidR="00D44E7B" w:rsidRPr="008B33EF">
        <w:rPr>
          <w:rFonts w:ascii="Arial" w:hAnsi="Arial" w:cs="Arial"/>
          <w:sz w:val="20"/>
          <w:szCs w:val="20"/>
        </w:rPr>
        <w:t xml:space="preserve"> </w:t>
      </w:r>
      <w:r w:rsidRPr="008B33EF">
        <w:rPr>
          <w:rFonts w:ascii="Arial" w:hAnsi="Arial" w:cs="Arial"/>
          <w:sz w:val="20"/>
          <w:szCs w:val="20"/>
        </w:rPr>
        <w:t>di riferimento stabiliti d</w:t>
      </w:r>
      <w:r w:rsidR="009C36CF">
        <w:rPr>
          <w:rFonts w:ascii="Arial" w:hAnsi="Arial" w:cs="Arial"/>
          <w:sz w:val="20"/>
          <w:szCs w:val="20"/>
        </w:rPr>
        <w:t>a</w:t>
      </w:r>
      <w:r w:rsidRPr="008B33EF">
        <w:rPr>
          <w:rFonts w:ascii="Arial" w:hAnsi="Arial" w:cs="Arial"/>
          <w:sz w:val="20"/>
          <w:szCs w:val="20"/>
        </w:rPr>
        <w:t xml:space="preserve">ll’Autorità </w:t>
      </w:r>
      <w:r w:rsidR="00D11C93">
        <w:rPr>
          <w:rFonts w:ascii="Arial" w:hAnsi="Arial" w:cs="Arial"/>
          <w:sz w:val="20"/>
          <w:szCs w:val="20"/>
        </w:rPr>
        <w:t xml:space="preserve">di Regolazione per Energia Reti e Ambiente </w:t>
      </w:r>
      <w:r>
        <w:rPr>
          <w:rFonts w:ascii="Arial" w:hAnsi="Arial" w:cs="Arial"/>
          <w:sz w:val="20"/>
          <w:szCs w:val="20"/>
        </w:rPr>
        <w:t>p</w:t>
      </w:r>
      <w:r w:rsidRPr="008B33EF">
        <w:rPr>
          <w:rFonts w:ascii="Arial" w:hAnsi="Arial" w:cs="Arial"/>
          <w:sz w:val="20"/>
          <w:szCs w:val="20"/>
        </w:rPr>
        <w:t>er il calcolo degli indennizzi</w:t>
      </w:r>
      <w:r w:rsidR="00255B77">
        <w:rPr>
          <w:rFonts w:ascii="Arial" w:hAnsi="Arial" w:cs="Arial"/>
          <w:sz w:val="20"/>
          <w:szCs w:val="20"/>
        </w:rPr>
        <w:t xml:space="preserve"> automatici</w:t>
      </w:r>
      <w:r>
        <w:rPr>
          <w:rFonts w:ascii="Arial" w:hAnsi="Arial" w:cs="Arial"/>
          <w:sz w:val="20"/>
          <w:szCs w:val="20"/>
        </w:rPr>
        <w:t>.</w:t>
      </w:r>
    </w:p>
    <w:p w14:paraId="22F8C6FB" w14:textId="77777777" w:rsidR="00255B77" w:rsidRDefault="00255B77" w:rsidP="008B33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F66087" w14:textId="77777777" w:rsidR="00255B77" w:rsidRPr="00A87402" w:rsidRDefault="00255B77" w:rsidP="00255B77">
      <w:pPr>
        <w:autoSpaceDE w:val="0"/>
        <w:autoSpaceDN w:val="0"/>
        <w:adjustRightInd w:val="0"/>
        <w:rPr>
          <w:rFonts w:ascii="Tahoma" w:hAnsi="Tahoma" w:cs="Tahoma"/>
          <w:b/>
          <w:bCs/>
          <w:spacing w:val="-2"/>
          <w:w w:val="98"/>
          <w:sz w:val="17"/>
          <w:szCs w:val="17"/>
        </w:rPr>
      </w:pPr>
      <w:r w:rsidRPr="00A87402">
        <w:rPr>
          <w:rFonts w:ascii="Tahoma" w:hAnsi="Tahoma" w:cs="Tahoma"/>
          <w:b/>
          <w:bCs/>
          <w:spacing w:val="-2"/>
          <w:w w:val="98"/>
          <w:sz w:val="17"/>
          <w:szCs w:val="17"/>
        </w:rPr>
        <w:t>Indennizz</w:t>
      </w:r>
      <w:r w:rsidR="000B1E14">
        <w:rPr>
          <w:rFonts w:ascii="Tahoma" w:hAnsi="Tahoma" w:cs="Tahoma"/>
          <w:b/>
          <w:bCs/>
          <w:spacing w:val="-2"/>
          <w:w w:val="98"/>
          <w:sz w:val="17"/>
          <w:szCs w:val="17"/>
        </w:rPr>
        <w:t>o</w:t>
      </w:r>
      <w:r w:rsidRPr="00A87402">
        <w:rPr>
          <w:rFonts w:ascii="Tahoma" w:hAnsi="Tahoma" w:cs="Tahoma"/>
          <w:b/>
          <w:bCs/>
          <w:spacing w:val="-2"/>
          <w:w w:val="98"/>
          <w:sz w:val="17"/>
          <w:szCs w:val="17"/>
        </w:rPr>
        <w:t xml:space="preserve"> dovut</w:t>
      </w:r>
      <w:r w:rsidR="000B1E14">
        <w:rPr>
          <w:rFonts w:ascii="Tahoma" w:hAnsi="Tahoma" w:cs="Tahoma"/>
          <w:b/>
          <w:bCs/>
          <w:spacing w:val="-2"/>
          <w:w w:val="98"/>
          <w:sz w:val="17"/>
          <w:szCs w:val="17"/>
        </w:rPr>
        <w:t>o</w:t>
      </w:r>
      <w:r w:rsidRPr="00A87402">
        <w:rPr>
          <w:rFonts w:ascii="Tahoma" w:hAnsi="Tahoma" w:cs="Tahoma"/>
          <w:b/>
          <w:bCs/>
          <w:spacing w:val="-2"/>
          <w:w w:val="98"/>
          <w:sz w:val="17"/>
          <w:szCs w:val="17"/>
        </w:rPr>
        <w:t xml:space="preserve"> a seguito del mancato rispetto del tempo massimo per l’esecuzione della prestazione richiesta </w:t>
      </w:r>
    </w:p>
    <w:p w14:paraId="52E1F09C" w14:textId="77777777" w:rsidR="00DA740F" w:rsidRPr="006A2AFF" w:rsidRDefault="00DA740F" w:rsidP="00DA740F">
      <w:pPr>
        <w:widowControl w:val="0"/>
        <w:tabs>
          <w:tab w:val="left" w:pos="7223"/>
        </w:tabs>
        <w:autoSpaceDE w:val="0"/>
        <w:autoSpaceDN w:val="0"/>
        <w:adjustRightInd w:val="0"/>
        <w:spacing w:line="160" w:lineRule="exact"/>
        <w:rPr>
          <w:rFonts w:ascii="Tahoma" w:hAnsi="Tahoma" w:cs="Tahoma"/>
          <w:i/>
          <w:spacing w:val="-2"/>
          <w:w w:val="98"/>
          <w:sz w:val="17"/>
          <w:szCs w:val="17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7"/>
        <w:gridCol w:w="2253"/>
        <w:gridCol w:w="2253"/>
        <w:gridCol w:w="2567"/>
      </w:tblGrid>
      <w:tr w:rsidR="00DA740F" w:rsidRPr="00A04623" w14:paraId="44A6C996" w14:textId="77777777" w:rsidTr="00187B39">
        <w:trPr>
          <w:trHeight w:val="840"/>
        </w:trPr>
        <w:tc>
          <w:tcPr>
            <w:tcW w:w="2647" w:type="dxa"/>
            <w:shd w:val="clear" w:color="auto" w:fill="CCCCCC"/>
            <w:vAlign w:val="center"/>
          </w:tcPr>
          <w:p w14:paraId="40D87B25" w14:textId="77777777" w:rsidR="00DA740F" w:rsidRPr="00A04623" w:rsidRDefault="00DA740F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>T = tempo effettivo di esecuzione della prestazione</w:t>
            </w:r>
          </w:p>
          <w:p w14:paraId="4BF9188D" w14:textId="77777777" w:rsidR="00DA740F" w:rsidRPr="00A04623" w:rsidRDefault="00460666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4623">
              <w:rPr>
                <w:rFonts w:ascii="Arial" w:hAnsi="Arial" w:cs="Arial"/>
                <w:sz w:val="18"/>
                <w:szCs w:val="18"/>
              </w:rPr>
              <w:t>T</w:t>
            </w:r>
            <w:r w:rsidR="00DA740F" w:rsidRPr="00A04623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="00DA740F" w:rsidRPr="00A04623">
              <w:rPr>
                <w:rFonts w:ascii="Arial" w:hAnsi="Arial" w:cs="Arial"/>
                <w:sz w:val="18"/>
                <w:szCs w:val="18"/>
              </w:rPr>
              <w:t xml:space="preserve"> = tempo massimo di esecuzione della prestazione</w:t>
            </w:r>
            <w:r w:rsidRPr="00A04623">
              <w:rPr>
                <w:rFonts w:ascii="Arial" w:hAnsi="Arial" w:cs="Arial"/>
                <w:sz w:val="18"/>
                <w:szCs w:val="18"/>
              </w:rPr>
              <w:t xml:space="preserve"> fissato dall’Autorità</w:t>
            </w:r>
          </w:p>
        </w:tc>
        <w:tc>
          <w:tcPr>
            <w:tcW w:w="2253" w:type="dxa"/>
            <w:shd w:val="clear" w:color="auto" w:fill="CCCCCC"/>
            <w:vAlign w:val="center"/>
          </w:tcPr>
          <w:p w14:paraId="2E2FB875" w14:textId="77777777" w:rsidR="00DA740F" w:rsidRPr="00A04623" w:rsidRDefault="00DA740F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>Clienti finali con gruppo di misura fino alla classe G6</w:t>
            </w:r>
          </w:p>
        </w:tc>
        <w:tc>
          <w:tcPr>
            <w:tcW w:w="2253" w:type="dxa"/>
            <w:shd w:val="clear" w:color="auto" w:fill="CCCCCC"/>
            <w:vAlign w:val="center"/>
          </w:tcPr>
          <w:p w14:paraId="77C4352B" w14:textId="77777777" w:rsidR="00DA740F" w:rsidRPr="00A04623" w:rsidRDefault="00DA740F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>Clienti finali con gruppo di misura dalla classe G10 alla classe G25</w:t>
            </w:r>
          </w:p>
        </w:tc>
        <w:tc>
          <w:tcPr>
            <w:tcW w:w="2567" w:type="dxa"/>
            <w:shd w:val="clear" w:color="auto" w:fill="CCCCCC"/>
            <w:vAlign w:val="center"/>
          </w:tcPr>
          <w:p w14:paraId="3D38BC91" w14:textId="77777777" w:rsidR="00DA740F" w:rsidRPr="00A04623" w:rsidRDefault="00DA740F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>Clienti finali con gruppo di misura dalla classe G40</w:t>
            </w:r>
          </w:p>
        </w:tc>
      </w:tr>
      <w:tr w:rsidR="00DA740F" w:rsidRPr="00A04623" w14:paraId="0C36C5D7" w14:textId="77777777" w:rsidTr="00187B39">
        <w:trPr>
          <w:trHeight w:val="630"/>
        </w:trPr>
        <w:tc>
          <w:tcPr>
            <w:tcW w:w="2647" w:type="dxa"/>
            <w:shd w:val="clear" w:color="auto" w:fill="auto"/>
            <w:vAlign w:val="center"/>
          </w:tcPr>
          <w:p w14:paraId="4D906133" w14:textId="77777777" w:rsidR="00DA740F" w:rsidRPr="00A04623" w:rsidRDefault="00DA740F" w:rsidP="00A046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 xml:space="preserve">T maggiore di </w:t>
            </w:r>
            <w:proofErr w:type="spellStart"/>
            <w:r w:rsidR="00702954" w:rsidRPr="00A04623">
              <w:rPr>
                <w:rFonts w:ascii="Arial" w:hAnsi="Arial" w:cs="Arial"/>
                <w:sz w:val="18"/>
                <w:szCs w:val="18"/>
              </w:rPr>
              <w:t>T</w:t>
            </w:r>
            <w:r w:rsidRPr="00A04623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A04623">
              <w:rPr>
                <w:rFonts w:ascii="Arial" w:hAnsi="Arial" w:cs="Arial"/>
                <w:sz w:val="18"/>
                <w:szCs w:val="18"/>
              </w:rPr>
              <w:t xml:space="preserve"> ma minore o uguale al doppio di </w:t>
            </w:r>
            <w:proofErr w:type="spellStart"/>
            <w:r w:rsidR="00460666" w:rsidRPr="00A04623">
              <w:rPr>
                <w:rFonts w:ascii="Arial" w:hAnsi="Arial" w:cs="Arial"/>
                <w:sz w:val="18"/>
                <w:szCs w:val="18"/>
              </w:rPr>
              <w:t>T</w:t>
            </w:r>
            <w:r w:rsidRPr="00A04623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2253" w:type="dxa"/>
            <w:shd w:val="clear" w:color="auto" w:fill="auto"/>
            <w:noWrap/>
            <w:vAlign w:val="center"/>
          </w:tcPr>
          <w:p w14:paraId="36EDB5F9" w14:textId="77777777" w:rsidR="00DA740F" w:rsidRPr="00A04623" w:rsidRDefault="00DA740F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>€ 3</w:t>
            </w:r>
            <w:r w:rsidR="001657B5" w:rsidRPr="00A04623">
              <w:rPr>
                <w:rFonts w:ascii="Arial" w:hAnsi="Arial" w:cs="Arial"/>
                <w:sz w:val="18"/>
                <w:szCs w:val="18"/>
              </w:rPr>
              <w:t>5</w:t>
            </w:r>
            <w:r w:rsidRPr="00A0462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14:paraId="586AE021" w14:textId="77777777" w:rsidR="00DA740F" w:rsidRPr="00A04623" w:rsidRDefault="00DA740F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1657B5" w:rsidRPr="00A04623">
              <w:rPr>
                <w:rFonts w:ascii="Arial" w:hAnsi="Arial" w:cs="Arial"/>
                <w:sz w:val="18"/>
                <w:szCs w:val="18"/>
              </w:rPr>
              <w:t>7</w:t>
            </w:r>
            <w:r w:rsidRPr="00A046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567" w:type="dxa"/>
            <w:shd w:val="clear" w:color="auto" w:fill="auto"/>
            <w:noWrap/>
            <w:vAlign w:val="center"/>
          </w:tcPr>
          <w:p w14:paraId="1725478E" w14:textId="77777777" w:rsidR="00DA740F" w:rsidRPr="00A04623" w:rsidRDefault="00DA740F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>€ 1</w:t>
            </w:r>
            <w:r w:rsidR="001657B5" w:rsidRPr="00A04623">
              <w:rPr>
                <w:rFonts w:ascii="Arial" w:hAnsi="Arial" w:cs="Arial"/>
                <w:sz w:val="18"/>
                <w:szCs w:val="18"/>
              </w:rPr>
              <w:t>4</w:t>
            </w:r>
            <w:r w:rsidRPr="00A046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A740F" w:rsidRPr="00A04623" w14:paraId="3B324919" w14:textId="77777777" w:rsidTr="00187B39">
        <w:trPr>
          <w:trHeight w:val="630"/>
        </w:trPr>
        <w:tc>
          <w:tcPr>
            <w:tcW w:w="2647" w:type="dxa"/>
            <w:shd w:val="clear" w:color="auto" w:fill="auto"/>
            <w:vAlign w:val="center"/>
          </w:tcPr>
          <w:p w14:paraId="2C5085E0" w14:textId="77777777" w:rsidR="00DA740F" w:rsidRPr="00A04623" w:rsidRDefault="00DA740F" w:rsidP="00A046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 xml:space="preserve">T maggiore del doppio di </w:t>
            </w:r>
            <w:proofErr w:type="spellStart"/>
            <w:r w:rsidR="00A94552">
              <w:rPr>
                <w:rFonts w:ascii="Arial" w:hAnsi="Arial" w:cs="Arial"/>
                <w:sz w:val="18"/>
                <w:szCs w:val="18"/>
              </w:rPr>
              <w:t>T</w:t>
            </w:r>
            <w:r w:rsidRPr="00A04623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A04623">
              <w:rPr>
                <w:rFonts w:ascii="Arial" w:hAnsi="Arial" w:cs="Arial"/>
                <w:sz w:val="18"/>
                <w:szCs w:val="18"/>
              </w:rPr>
              <w:t xml:space="preserve"> ma minore o uguale al triplo di </w:t>
            </w:r>
            <w:proofErr w:type="spellStart"/>
            <w:r w:rsidR="00460666" w:rsidRPr="00A04623">
              <w:rPr>
                <w:rFonts w:ascii="Arial" w:hAnsi="Arial" w:cs="Arial"/>
                <w:sz w:val="18"/>
                <w:szCs w:val="18"/>
              </w:rPr>
              <w:t>T</w:t>
            </w:r>
            <w:r w:rsidRPr="00A04623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2253" w:type="dxa"/>
            <w:shd w:val="clear" w:color="auto" w:fill="auto"/>
            <w:noWrap/>
            <w:vAlign w:val="center"/>
          </w:tcPr>
          <w:p w14:paraId="282CA1C4" w14:textId="77777777" w:rsidR="00DA740F" w:rsidRPr="00A04623" w:rsidRDefault="00DA740F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1657B5" w:rsidRPr="00A04623">
              <w:rPr>
                <w:rFonts w:ascii="Arial" w:hAnsi="Arial" w:cs="Arial"/>
                <w:sz w:val="18"/>
                <w:szCs w:val="18"/>
              </w:rPr>
              <w:t>7</w:t>
            </w:r>
            <w:r w:rsidRPr="00A046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14:paraId="5346A94E" w14:textId="77777777" w:rsidR="00DA740F" w:rsidRPr="00A04623" w:rsidRDefault="00DA740F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>€ 1</w:t>
            </w:r>
            <w:r w:rsidR="001657B5" w:rsidRPr="00A04623">
              <w:rPr>
                <w:rFonts w:ascii="Arial" w:hAnsi="Arial" w:cs="Arial"/>
                <w:sz w:val="18"/>
                <w:szCs w:val="18"/>
              </w:rPr>
              <w:t>4</w:t>
            </w:r>
            <w:r w:rsidRPr="00A046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567" w:type="dxa"/>
            <w:shd w:val="clear" w:color="auto" w:fill="auto"/>
            <w:noWrap/>
            <w:vAlign w:val="center"/>
          </w:tcPr>
          <w:p w14:paraId="58D9EBA7" w14:textId="77777777" w:rsidR="00DA740F" w:rsidRPr="00A04623" w:rsidRDefault="00DA740F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>€ 2</w:t>
            </w:r>
            <w:r w:rsidR="001657B5" w:rsidRPr="00A04623">
              <w:rPr>
                <w:rFonts w:ascii="Arial" w:hAnsi="Arial" w:cs="Arial"/>
                <w:sz w:val="18"/>
                <w:szCs w:val="18"/>
              </w:rPr>
              <w:t>8</w:t>
            </w:r>
            <w:r w:rsidRPr="00A046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A740F" w:rsidRPr="00A04623" w14:paraId="7101AC61" w14:textId="77777777" w:rsidTr="00187B39">
        <w:trPr>
          <w:trHeight w:val="420"/>
        </w:trPr>
        <w:tc>
          <w:tcPr>
            <w:tcW w:w="2647" w:type="dxa"/>
            <w:shd w:val="clear" w:color="auto" w:fill="auto"/>
            <w:vAlign w:val="center"/>
          </w:tcPr>
          <w:p w14:paraId="132B1F59" w14:textId="77777777" w:rsidR="00DA740F" w:rsidRPr="00A04623" w:rsidRDefault="00DA740F" w:rsidP="00A046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 xml:space="preserve">T maggiore del triplo di </w:t>
            </w:r>
            <w:proofErr w:type="spellStart"/>
            <w:r w:rsidR="00460666" w:rsidRPr="00A04623">
              <w:rPr>
                <w:rFonts w:ascii="Arial" w:hAnsi="Arial" w:cs="Arial"/>
                <w:sz w:val="18"/>
                <w:szCs w:val="18"/>
              </w:rPr>
              <w:t>T</w:t>
            </w:r>
            <w:r w:rsidRPr="00A04623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2253" w:type="dxa"/>
            <w:shd w:val="clear" w:color="auto" w:fill="auto"/>
            <w:noWrap/>
            <w:vAlign w:val="center"/>
          </w:tcPr>
          <w:p w14:paraId="785E55F2" w14:textId="77777777" w:rsidR="00DA740F" w:rsidRPr="00A04623" w:rsidRDefault="00DA740F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1657B5" w:rsidRPr="00A04623">
              <w:rPr>
                <w:rFonts w:ascii="Arial" w:hAnsi="Arial" w:cs="Arial"/>
                <w:sz w:val="18"/>
                <w:szCs w:val="18"/>
              </w:rPr>
              <w:t>105</w:t>
            </w:r>
            <w:r w:rsidRPr="00A0462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14:paraId="56142318" w14:textId="77777777" w:rsidR="00DA740F" w:rsidRPr="00A04623" w:rsidRDefault="00DA740F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1657B5" w:rsidRPr="00A04623">
              <w:rPr>
                <w:rFonts w:ascii="Arial" w:hAnsi="Arial" w:cs="Arial"/>
                <w:sz w:val="18"/>
                <w:szCs w:val="18"/>
              </w:rPr>
              <w:t>210</w:t>
            </w:r>
            <w:r w:rsidRPr="00A0462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567" w:type="dxa"/>
            <w:shd w:val="clear" w:color="auto" w:fill="auto"/>
            <w:noWrap/>
            <w:vAlign w:val="center"/>
          </w:tcPr>
          <w:p w14:paraId="5D932510" w14:textId="77777777" w:rsidR="00DA740F" w:rsidRPr="00A04623" w:rsidRDefault="00DA740F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1657B5" w:rsidRPr="00A04623">
              <w:rPr>
                <w:rFonts w:ascii="Arial" w:hAnsi="Arial" w:cs="Arial"/>
                <w:sz w:val="18"/>
                <w:szCs w:val="18"/>
              </w:rPr>
              <w:t>420</w:t>
            </w:r>
            <w:r w:rsidRPr="00A0462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</w:tbl>
    <w:p w14:paraId="683EEFB6" w14:textId="77777777" w:rsidR="00DA740F" w:rsidRPr="002F6302" w:rsidRDefault="00DA740F" w:rsidP="00DA740F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Tahoma" w:hAnsi="Tahoma" w:cs="Tahoma"/>
          <w:spacing w:val="-2"/>
          <w:w w:val="98"/>
          <w:sz w:val="18"/>
          <w:szCs w:val="18"/>
        </w:rPr>
      </w:pPr>
    </w:p>
    <w:p w14:paraId="517EF74D" w14:textId="77777777" w:rsidR="00DA740F" w:rsidRPr="002F6302" w:rsidRDefault="00DA740F" w:rsidP="00DA740F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Tahoma" w:hAnsi="Tahoma" w:cs="Tahoma"/>
          <w:spacing w:val="-2"/>
          <w:w w:val="98"/>
          <w:sz w:val="18"/>
          <w:szCs w:val="18"/>
        </w:rPr>
      </w:pPr>
    </w:p>
    <w:p w14:paraId="0EE22B2E" w14:textId="77777777" w:rsidR="00DA740F" w:rsidRPr="002F6302" w:rsidRDefault="00DA740F" w:rsidP="00BD25C2">
      <w:pPr>
        <w:autoSpaceDE w:val="0"/>
        <w:autoSpaceDN w:val="0"/>
        <w:adjustRightInd w:val="0"/>
        <w:rPr>
          <w:rFonts w:ascii="Tahoma" w:hAnsi="Tahoma" w:cs="Tahoma"/>
          <w:b/>
          <w:bCs/>
          <w:spacing w:val="-2"/>
          <w:w w:val="98"/>
          <w:sz w:val="18"/>
          <w:szCs w:val="18"/>
        </w:rPr>
      </w:pPr>
      <w:r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>Indennizz</w:t>
      </w:r>
      <w:r w:rsidR="000B1E14"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>o</w:t>
      </w:r>
      <w:r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 xml:space="preserve"> dovut</w:t>
      </w:r>
      <w:r w:rsidR="000B1E14"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>o</w:t>
      </w:r>
      <w:r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 xml:space="preserve"> </w:t>
      </w:r>
      <w:r w:rsidR="00255B77"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>a seguito del</w:t>
      </w:r>
      <w:r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 xml:space="preserve"> mancato rispetto della fascia di puntualità </w:t>
      </w:r>
    </w:p>
    <w:p w14:paraId="159F2DE6" w14:textId="77777777" w:rsidR="00DA740F" w:rsidRPr="002F6302" w:rsidRDefault="00DA740F" w:rsidP="00DA740F">
      <w:pPr>
        <w:widowControl w:val="0"/>
        <w:tabs>
          <w:tab w:val="left" w:pos="7223"/>
        </w:tabs>
        <w:autoSpaceDE w:val="0"/>
        <w:autoSpaceDN w:val="0"/>
        <w:adjustRightInd w:val="0"/>
        <w:spacing w:line="160" w:lineRule="exact"/>
        <w:ind w:left="70"/>
        <w:rPr>
          <w:rFonts w:ascii="Tahoma" w:hAnsi="Tahoma" w:cs="Tahoma"/>
          <w:i/>
          <w:spacing w:val="-2"/>
          <w:w w:val="98"/>
          <w:sz w:val="18"/>
          <w:szCs w:val="18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DA740F" w:rsidRPr="00A04623" w14:paraId="1E9C5B22" w14:textId="77777777" w:rsidTr="00187B39">
        <w:trPr>
          <w:trHeight w:val="630"/>
        </w:trPr>
        <w:tc>
          <w:tcPr>
            <w:tcW w:w="3240" w:type="dxa"/>
            <w:shd w:val="clear" w:color="auto" w:fill="CCCCCC"/>
            <w:vAlign w:val="center"/>
          </w:tcPr>
          <w:p w14:paraId="16B08E26" w14:textId="77777777" w:rsidR="00DA740F" w:rsidRPr="00A04623" w:rsidRDefault="00DA740F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>Clienti finali con gruppo di misura fino alla classe G6</w:t>
            </w:r>
          </w:p>
        </w:tc>
        <w:tc>
          <w:tcPr>
            <w:tcW w:w="3240" w:type="dxa"/>
            <w:shd w:val="clear" w:color="auto" w:fill="CCCCCC"/>
            <w:vAlign w:val="center"/>
          </w:tcPr>
          <w:p w14:paraId="0E4A071F" w14:textId="77777777" w:rsidR="00DA740F" w:rsidRPr="00A04623" w:rsidRDefault="00DA740F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>Clienti finali con gruppo di misura dalla classe G10 alla classe G25</w:t>
            </w:r>
          </w:p>
        </w:tc>
        <w:tc>
          <w:tcPr>
            <w:tcW w:w="3240" w:type="dxa"/>
            <w:shd w:val="clear" w:color="auto" w:fill="CCCCCC"/>
            <w:vAlign w:val="center"/>
          </w:tcPr>
          <w:p w14:paraId="48FFF665" w14:textId="77777777" w:rsidR="00DA740F" w:rsidRPr="00A04623" w:rsidRDefault="00DA740F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>Clienti finali con gruppo di misura dalla classe G40</w:t>
            </w:r>
          </w:p>
        </w:tc>
      </w:tr>
      <w:tr w:rsidR="00DA740F" w:rsidRPr="00A04623" w14:paraId="10708AA1" w14:textId="77777777" w:rsidTr="00187B39">
        <w:trPr>
          <w:trHeight w:val="255"/>
        </w:trPr>
        <w:tc>
          <w:tcPr>
            <w:tcW w:w="3240" w:type="dxa"/>
            <w:shd w:val="clear" w:color="auto" w:fill="auto"/>
            <w:vAlign w:val="center"/>
          </w:tcPr>
          <w:p w14:paraId="6F60E40A" w14:textId="77777777" w:rsidR="00DA740F" w:rsidRPr="00A04623" w:rsidRDefault="00DA740F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>€ 3</w:t>
            </w:r>
            <w:r w:rsidR="001657B5" w:rsidRPr="00A04623">
              <w:rPr>
                <w:rFonts w:ascii="Arial" w:hAnsi="Arial" w:cs="Arial"/>
                <w:sz w:val="18"/>
                <w:szCs w:val="18"/>
              </w:rPr>
              <w:t>5</w:t>
            </w:r>
            <w:r w:rsidRPr="00A0462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731958C7" w14:textId="77777777" w:rsidR="00DA740F" w:rsidRPr="00A04623" w:rsidRDefault="00DA740F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1657B5" w:rsidRPr="00A04623">
              <w:rPr>
                <w:rFonts w:ascii="Arial" w:hAnsi="Arial" w:cs="Arial"/>
                <w:sz w:val="18"/>
                <w:szCs w:val="18"/>
              </w:rPr>
              <w:t>7</w:t>
            </w:r>
            <w:r w:rsidRPr="00A046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E6FC1F4" w14:textId="77777777" w:rsidR="00DA740F" w:rsidRPr="00A04623" w:rsidRDefault="00DA740F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>€ 1</w:t>
            </w:r>
            <w:r w:rsidR="001657B5" w:rsidRPr="00A04623">
              <w:rPr>
                <w:rFonts w:ascii="Arial" w:hAnsi="Arial" w:cs="Arial"/>
                <w:sz w:val="18"/>
                <w:szCs w:val="18"/>
              </w:rPr>
              <w:t>4</w:t>
            </w:r>
            <w:r w:rsidRPr="00A046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14:paraId="488305EC" w14:textId="77777777" w:rsidR="002A2BB7" w:rsidRPr="002F6302" w:rsidRDefault="002A2BB7" w:rsidP="00414B93">
      <w:pPr>
        <w:widowControl w:val="0"/>
        <w:autoSpaceDE w:val="0"/>
        <w:autoSpaceDN w:val="0"/>
        <w:adjustRightInd w:val="0"/>
        <w:spacing w:line="160" w:lineRule="exact"/>
        <w:outlineLvl w:val="0"/>
        <w:rPr>
          <w:rFonts w:ascii="Tahoma" w:hAnsi="Tahoma" w:cs="Tahoma"/>
          <w:spacing w:val="-2"/>
          <w:w w:val="98"/>
          <w:sz w:val="18"/>
          <w:szCs w:val="18"/>
          <w:highlight w:val="cyan"/>
        </w:rPr>
      </w:pPr>
    </w:p>
    <w:p w14:paraId="65871ADB" w14:textId="77777777" w:rsidR="002A2BB7" w:rsidRPr="002F6302" w:rsidRDefault="002A2BB7" w:rsidP="00A87402">
      <w:pPr>
        <w:widowControl w:val="0"/>
        <w:tabs>
          <w:tab w:val="left" w:pos="7383"/>
        </w:tabs>
        <w:autoSpaceDE w:val="0"/>
        <w:autoSpaceDN w:val="0"/>
        <w:adjustRightInd w:val="0"/>
        <w:spacing w:line="160" w:lineRule="exact"/>
        <w:jc w:val="both"/>
        <w:rPr>
          <w:rFonts w:ascii="Tahoma" w:hAnsi="Tahoma" w:cs="Tahoma"/>
          <w:i/>
          <w:spacing w:val="-2"/>
          <w:w w:val="98"/>
          <w:sz w:val="18"/>
          <w:szCs w:val="18"/>
        </w:rPr>
      </w:pPr>
    </w:p>
    <w:p w14:paraId="0B1E2186" w14:textId="77777777" w:rsidR="00614486" w:rsidRPr="002F6302" w:rsidRDefault="00614486" w:rsidP="00614486">
      <w:pPr>
        <w:autoSpaceDE w:val="0"/>
        <w:autoSpaceDN w:val="0"/>
        <w:adjustRightInd w:val="0"/>
        <w:rPr>
          <w:rFonts w:ascii="Tahoma" w:hAnsi="Tahoma" w:cs="Tahoma"/>
          <w:b/>
          <w:bCs/>
          <w:spacing w:val="-2"/>
          <w:w w:val="98"/>
          <w:sz w:val="18"/>
          <w:szCs w:val="18"/>
        </w:rPr>
      </w:pPr>
      <w:r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>Indennizzo dovuto a seguito del mancato rispetto del</w:t>
      </w:r>
      <w:r w:rsidR="00A94552">
        <w:rPr>
          <w:rFonts w:ascii="Tahoma" w:hAnsi="Tahoma" w:cs="Tahoma"/>
          <w:b/>
          <w:bCs/>
          <w:spacing w:val="-2"/>
          <w:w w:val="98"/>
          <w:sz w:val="18"/>
          <w:szCs w:val="18"/>
        </w:rPr>
        <w:t xml:space="preserve">la </w:t>
      </w:r>
      <w:r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>raccolta della misura</w:t>
      </w:r>
    </w:p>
    <w:p w14:paraId="1DF8BC9E" w14:textId="77777777" w:rsidR="00614486" w:rsidRPr="002F6302" w:rsidRDefault="00614486" w:rsidP="00614486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Verdana" w:hAnsi="Verdana" w:cs="Tahoma"/>
          <w:spacing w:val="-2"/>
          <w:w w:val="98"/>
          <w:sz w:val="18"/>
          <w:szCs w:val="1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</w:tblGrid>
      <w:tr w:rsidR="0092230D" w:rsidRPr="00A04623" w14:paraId="3520744A" w14:textId="77777777" w:rsidTr="0092230D">
        <w:trPr>
          <w:trHeight w:val="411"/>
        </w:trPr>
        <w:tc>
          <w:tcPr>
            <w:tcW w:w="3261" w:type="dxa"/>
            <w:shd w:val="clear" w:color="auto" w:fill="CCCCCC"/>
            <w:vAlign w:val="center"/>
          </w:tcPr>
          <w:p w14:paraId="6A68AFF2" w14:textId="77777777" w:rsidR="0092230D" w:rsidRPr="00A04623" w:rsidRDefault="0092230D" w:rsidP="00922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 xml:space="preserve">Clienti finali con gruppo di misura </w:t>
            </w:r>
            <w:r>
              <w:rPr>
                <w:rFonts w:ascii="Arial" w:hAnsi="Arial" w:cs="Arial"/>
                <w:sz w:val="18"/>
                <w:szCs w:val="18"/>
              </w:rPr>
              <w:t xml:space="preserve">tradizionale </w:t>
            </w:r>
            <w:r w:rsidRPr="00A04623">
              <w:rPr>
                <w:rFonts w:ascii="Arial" w:hAnsi="Arial" w:cs="Arial"/>
                <w:sz w:val="18"/>
                <w:szCs w:val="18"/>
              </w:rPr>
              <w:t>accessibile</w:t>
            </w:r>
          </w:p>
        </w:tc>
        <w:tc>
          <w:tcPr>
            <w:tcW w:w="3260" w:type="dxa"/>
            <w:shd w:val="clear" w:color="auto" w:fill="CCCCCC"/>
          </w:tcPr>
          <w:p w14:paraId="4D32B9BE" w14:textId="77777777" w:rsidR="0092230D" w:rsidRPr="00A04623" w:rsidRDefault="0092230D" w:rsidP="00922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Clienti con gruppi di misura smart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 consumo annuo fino a 500 metri cubi</w:t>
            </w:r>
          </w:p>
        </w:tc>
        <w:tc>
          <w:tcPr>
            <w:tcW w:w="3260" w:type="dxa"/>
            <w:shd w:val="clear" w:color="auto" w:fill="CCCCCC"/>
            <w:vAlign w:val="center"/>
          </w:tcPr>
          <w:p w14:paraId="2E0C9E44" w14:textId="77777777" w:rsidR="0092230D" w:rsidRDefault="0092230D" w:rsidP="00922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Clienti con gruppi di misura smart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 consumo annuo compreso tra 501 e 5.000 metri cubi</w:t>
            </w:r>
          </w:p>
        </w:tc>
      </w:tr>
      <w:tr w:rsidR="0092230D" w:rsidRPr="00A04623" w14:paraId="37622DA1" w14:textId="77777777" w:rsidTr="0092230D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</w:tcPr>
          <w:p w14:paraId="391A0FB4" w14:textId="77777777" w:rsidR="0092230D" w:rsidRPr="00A04623" w:rsidRDefault="0092230D" w:rsidP="00922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>€ 35,00</w:t>
            </w:r>
          </w:p>
        </w:tc>
        <w:tc>
          <w:tcPr>
            <w:tcW w:w="3260" w:type="dxa"/>
            <w:vAlign w:val="center"/>
          </w:tcPr>
          <w:p w14:paraId="37D9378B" w14:textId="77777777" w:rsidR="0092230D" w:rsidRPr="00A04623" w:rsidRDefault="0092230D" w:rsidP="00922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€ 10,00 </w:t>
            </w:r>
            <w:r w:rsidRPr="0092230D">
              <w:rPr>
                <w:rFonts w:ascii="Arial" w:hAnsi="Arial" w:cs="Arial"/>
                <w:sz w:val="18"/>
                <w:szCs w:val="18"/>
              </w:rPr>
              <w:t xml:space="preserve">nel caso di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2230D">
              <w:rPr>
                <w:rFonts w:ascii="Arial" w:hAnsi="Arial" w:cs="Arial"/>
                <w:sz w:val="18"/>
                <w:szCs w:val="18"/>
              </w:rPr>
              <w:t xml:space="preserve"> mancate letture consecutive</w:t>
            </w:r>
          </w:p>
        </w:tc>
        <w:tc>
          <w:tcPr>
            <w:tcW w:w="3260" w:type="dxa"/>
            <w:vAlign w:val="center"/>
          </w:tcPr>
          <w:p w14:paraId="2334B075" w14:textId="77777777" w:rsidR="0092230D" w:rsidRDefault="0092230D" w:rsidP="00922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€ 10,00 </w:t>
            </w:r>
            <w:r w:rsidRPr="0092230D">
              <w:rPr>
                <w:rFonts w:ascii="Arial" w:hAnsi="Arial" w:cs="Arial"/>
                <w:sz w:val="18"/>
                <w:szCs w:val="18"/>
              </w:rPr>
              <w:t>nel caso di 3 mancate letture consecutive</w:t>
            </w:r>
          </w:p>
        </w:tc>
      </w:tr>
    </w:tbl>
    <w:p w14:paraId="4C7D4B03" w14:textId="77777777" w:rsidR="00614486" w:rsidRPr="002F6302" w:rsidRDefault="00614486" w:rsidP="00A87402">
      <w:pPr>
        <w:autoSpaceDE w:val="0"/>
        <w:autoSpaceDN w:val="0"/>
        <w:adjustRightInd w:val="0"/>
        <w:rPr>
          <w:rFonts w:ascii="Tahoma" w:hAnsi="Tahoma" w:cs="Tahoma"/>
          <w:b/>
          <w:bCs/>
          <w:spacing w:val="-2"/>
          <w:w w:val="98"/>
          <w:sz w:val="18"/>
          <w:szCs w:val="18"/>
        </w:rPr>
      </w:pPr>
    </w:p>
    <w:p w14:paraId="7DB37D8A" w14:textId="77777777" w:rsidR="00414B93" w:rsidRPr="002F6302" w:rsidRDefault="00414B93" w:rsidP="00A87402">
      <w:pPr>
        <w:autoSpaceDE w:val="0"/>
        <w:autoSpaceDN w:val="0"/>
        <w:adjustRightInd w:val="0"/>
        <w:rPr>
          <w:rFonts w:ascii="Tahoma" w:hAnsi="Tahoma" w:cs="Tahoma"/>
          <w:b/>
          <w:bCs/>
          <w:spacing w:val="-2"/>
          <w:w w:val="98"/>
          <w:sz w:val="18"/>
          <w:szCs w:val="18"/>
        </w:rPr>
      </w:pPr>
      <w:r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>Indennizz</w:t>
      </w:r>
      <w:r w:rsidR="000B1E14"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>o</w:t>
      </w:r>
      <w:r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 xml:space="preserve"> dovut</w:t>
      </w:r>
      <w:r w:rsidR="000B1E14"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>o</w:t>
      </w:r>
      <w:r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 xml:space="preserve"> a seguito del mancato rispetto del tempo massimo di messa a disposizione del venditore di dati tecnici</w:t>
      </w:r>
    </w:p>
    <w:p w14:paraId="69E413F6" w14:textId="77777777" w:rsidR="002A2BB7" w:rsidRPr="002F6302" w:rsidRDefault="002A2BB7" w:rsidP="002A2BB7">
      <w:pPr>
        <w:widowControl w:val="0"/>
        <w:tabs>
          <w:tab w:val="left" w:pos="7383"/>
        </w:tabs>
        <w:autoSpaceDE w:val="0"/>
        <w:autoSpaceDN w:val="0"/>
        <w:adjustRightInd w:val="0"/>
        <w:spacing w:line="160" w:lineRule="exact"/>
        <w:rPr>
          <w:rFonts w:ascii="Tahoma" w:hAnsi="Tahoma" w:cs="Tahoma"/>
          <w:i/>
          <w:spacing w:val="-2"/>
          <w:w w:val="98"/>
          <w:sz w:val="18"/>
          <w:szCs w:val="1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3301"/>
      </w:tblGrid>
      <w:tr w:rsidR="002A2BB7" w:rsidRPr="00A04623" w14:paraId="5B077A73" w14:textId="77777777" w:rsidTr="0092230D">
        <w:trPr>
          <w:trHeight w:val="539"/>
        </w:trPr>
        <w:tc>
          <w:tcPr>
            <w:tcW w:w="6480" w:type="dxa"/>
            <w:shd w:val="clear" w:color="auto" w:fill="CCCCCC"/>
            <w:vAlign w:val="center"/>
          </w:tcPr>
          <w:p w14:paraId="6DDEB5E2" w14:textId="77777777" w:rsidR="002A2BB7" w:rsidRPr="00A04623" w:rsidRDefault="002A2BB7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>T = tempo effettivo di esecuzione della prestazione</w:t>
            </w:r>
          </w:p>
          <w:p w14:paraId="13F48010" w14:textId="77777777" w:rsidR="002A2BB7" w:rsidRPr="00A04623" w:rsidRDefault="00C93C40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4623">
              <w:rPr>
                <w:rFonts w:ascii="Arial" w:hAnsi="Arial" w:cs="Arial"/>
                <w:sz w:val="18"/>
                <w:szCs w:val="18"/>
              </w:rPr>
              <w:t>T</w:t>
            </w:r>
            <w:r w:rsidR="002A2BB7" w:rsidRPr="00A04623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="002A2BB7" w:rsidRPr="00A04623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A04623">
              <w:rPr>
                <w:rFonts w:ascii="Arial" w:hAnsi="Arial" w:cs="Arial"/>
                <w:sz w:val="18"/>
                <w:szCs w:val="18"/>
              </w:rPr>
              <w:t>tempo massimo di esecuzione della prestazione fissato dall’Autorità</w:t>
            </w:r>
          </w:p>
        </w:tc>
        <w:tc>
          <w:tcPr>
            <w:tcW w:w="3301" w:type="dxa"/>
            <w:shd w:val="clear" w:color="auto" w:fill="CCCCCC"/>
            <w:vAlign w:val="center"/>
          </w:tcPr>
          <w:p w14:paraId="25E19B17" w14:textId="77777777" w:rsidR="002A2BB7" w:rsidRPr="00A04623" w:rsidRDefault="002A2BB7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 xml:space="preserve">Indennizzo </w:t>
            </w:r>
          </w:p>
        </w:tc>
      </w:tr>
      <w:tr w:rsidR="002A2BB7" w:rsidRPr="00A04623" w14:paraId="2F836AF8" w14:textId="77777777" w:rsidTr="0092230D">
        <w:trPr>
          <w:trHeight w:val="525"/>
        </w:trPr>
        <w:tc>
          <w:tcPr>
            <w:tcW w:w="6480" w:type="dxa"/>
            <w:shd w:val="clear" w:color="auto" w:fill="auto"/>
            <w:vAlign w:val="center"/>
          </w:tcPr>
          <w:p w14:paraId="48F1775A" w14:textId="77777777" w:rsidR="002A2BB7" w:rsidRPr="00A04623" w:rsidRDefault="002A2BB7" w:rsidP="00A04623">
            <w:pPr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 xml:space="preserve">T maggiore di </w:t>
            </w:r>
            <w:proofErr w:type="spellStart"/>
            <w:r w:rsidR="00702954" w:rsidRPr="00A04623">
              <w:rPr>
                <w:rFonts w:ascii="Arial" w:hAnsi="Arial" w:cs="Arial"/>
                <w:sz w:val="18"/>
                <w:szCs w:val="18"/>
              </w:rPr>
              <w:t>T</w:t>
            </w:r>
            <w:r w:rsidRPr="00A04623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A04623">
              <w:rPr>
                <w:rFonts w:ascii="Arial" w:hAnsi="Arial" w:cs="Arial"/>
                <w:sz w:val="18"/>
                <w:szCs w:val="18"/>
              </w:rPr>
              <w:t xml:space="preserve"> ma minore o uguale al doppio di </w:t>
            </w:r>
            <w:proofErr w:type="spellStart"/>
            <w:r w:rsidR="00702954" w:rsidRPr="00A04623">
              <w:rPr>
                <w:rFonts w:ascii="Arial" w:hAnsi="Arial" w:cs="Arial"/>
                <w:sz w:val="18"/>
                <w:szCs w:val="18"/>
              </w:rPr>
              <w:t>T</w:t>
            </w:r>
            <w:r w:rsidRPr="00A04623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3301" w:type="dxa"/>
            <w:shd w:val="clear" w:color="auto" w:fill="auto"/>
            <w:noWrap/>
            <w:vAlign w:val="center"/>
          </w:tcPr>
          <w:p w14:paraId="727C8EE9" w14:textId="77777777" w:rsidR="002A2BB7" w:rsidRPr="00A94552" w:rsidRDefault="002A2BB7" w:rsidP="00A0462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F7F89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A94552" w:rsidRPr="00BF7F89">
              <w:rPr>
                <w:rFonts w:ascii="Arial" w:hAnsi="Arial" w:cs="Arial"/>
                <w:sz w:val="18"/>
                <w:szCs w:val="18"/>
              </w:rPr>
              <w:t>30</w:t>
            </w:r>
            <w:r w:rsidRPr="00BF7F8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2A2BB7" w:rsidRPr="00A04623" w14:paraId="0A7E3686" w14:textId="77777777" w:rsidTr="0092230D">
        <w:trPr>
          <w:trHeight w:val="525"/>
        </w:trPr>
        <w:tc>
          <w:tcPr>
            <w:tcW w:w="6480" w:type="dxa"/>
            <w:shd w:val="clear" w:color="auto" w:fill="auto"/>
            <w:vAlign w:val="center"/>
          </w:tcPr>
          <w:p w14:paraId="5FAB7C57" w14:textId="77777777" w:rsidR="002A2BB7" w:rsidRPr="00A04623" w:rsidRDefault="002A2BB7" w:rsidP="00A04623">
            <w:pPr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 xml:space="preserve">T maggiore del doppio di </w:t>
            </w:r>
            <w:proofErr w:type="spellStart"/>
            <w:r w:rsidR="00702954" w:rsidRPr="00A04623">
              <w:rPr>
                <w:rFonts w:ascii="Arial" w:hAnsi="Arial" w:cs="Arial"/>
                <w:sz w:val="18"/>
                <w:szCs w:val="18"/>
              </w:rPr>
              <w:t>T</w:t>
            </w:r>
            <w:r w:rsidRPr="00A04623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A04623">
              <w:rPr>
                <w:rFonts w:ascii="Arial" w:hAnsi="Arial" w:cs="Arial"/>
                <w:sz w:val="18"/>
                <w:szCs w:val="18"/>
              </w:rPr>
              <w:t xml:space="preserve"> ma minore o uguale al triplo di </w:t>
            </w:r>
            <w:proofErr w:type="spellStart"/>
            <w:r w:rsidR="00702954" w:rsidRPr="00A04623">
              <w:rPr>
                <w:rFonts w:ascii="Arial" w:hAnsi="Arial" w:cs="Arial"/>
                <w:sz w:val="18"/>
                <w:szCs w:val="18"/>
              </w:rPr>
              <w:t>T</w:t>
            </w:r>
            <w:r w:rsidRPr="00A04623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3301" w:type="dxa"/>
            <w:shd w:val="clear" w:color="auto" w:fill="auto"/>
            <w:noWrap/>
            <w:vAlign w:val="center"/>
          </w:tcPr>
          <w:p w14:paraId="50CE040D" w14:textId="77777777" w:rsidR="002A2BB7" w:rsidRPr="00A94552" w:rsidRDefault="002A2BB7" w:rsidP="00A0462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F7F89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A94552" w:rsidRPr="00BF7F89">
              <w:rPr>
                <w:rFonts w:ascii="Arial" w:hAnsi="Arial" w:cs="Arial"/>
                <w:sz w:val="18"/>
                <w:szCs w:val="18"/>
              </w:rPr>
              <w:t>60</w:t>
            </w:r>
            <w:r w:rsidRPr="00BF7F8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2A2BB7" w:rsidRPr="00A04623" w14:paraId="69D3033D" w14:textId="77777777" w:rsidTr="0092230D">
        <w:trPr>
          <w:trHeight w:val="525"/>
        </w:trPr>
        <w:tc>
          <w:tcPr>
            <w:tcW w:w="6480" w:type="dxa"/>
            <w:shd w:val="clear" w:color="auto" w:fill="auto"/>
            <w:vAlign w:val="center"/>
          </w:tcPr>
          <w:p w14:paraId="26FE7751" w14:textId="77777777" w:rsidR="002A2BB7" w:rsidRPr="00A04623" w:rsidRDefault="002A2BB7" w:rsidP="00A04623">
            <w:pPr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 xml:space="preserve">T maggiore del triplo di </w:t>
            </w:r>
            <w:proofErr w:type="spellStart"/>
            <w:r w:rsidR="00702954" w:rsidRPr="00A04623">
              <w:rPr>
                <w:rFonts w:ascii="Arial" w:hAnsi="Arial" w:cs="Arial"/>
                <w:sz w:val="18"/>
                <w:szCs w:val="18"/>
              </w:rPr>
              <w:t>T</w:t>
            </w:r>
            <w:r w:rsidRPr="00A04623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3301" w:type="dxa"/>
            <w:shd w:val="clear" w:color="auto" w:fill="auto"/>
            <w:noWrap/>
            <w:vAlign w:val="center"/>
          </w:tcPr>
          <w:p w14:paraId="0B342097" w14:textId="77777777" w:rsidR="002A2BB7" w:rsidRPr="00A94552" w:rsidRDefault="002A2BB7" w:rsidP="00A0462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F7F89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A94552" w:rsidRPr="00BF7F89">
              <w:rPr>
                <w:rFonts w:ascii="Arial" w:hAnsi="Arial" w:cs="Arial"/>
                <w:sz w:val="18"/>
                <w:szCs w:val="18"/>
              </w:rPr>
              <w:t>90</w:t>
            </w:r>
            <w:r w:rsidRPr="00BF7F8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</w:tbl>
    <w:p w14:paraId="5F3038D0" w14:textId="77777777" w:rsidR="002A2BB7" w:rsidRPr="002A2BB7" w:rsidRDefault="002A2BB7" w:rsidP="002A2BB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Tahoma" w:hAnsi="Tahoma" w:cs="Tahoma"/>
          <w:spacing w:val="-2"/>
          <w:w w:val="98"/>
          <w:sz w:val="17"/>
          <w:szCs w:val="17"/>
          <w:highlight w:val="cyan"/>
        </w:rPr>
      </w:pPr>
    </w:p>
    <w:p w14:paraId="580074DA" w14:textId="77777777" w:rsidR="00306F4F" w:rsidRPr="00BF7F89" w:rsidRDefault="00414B93" w:rsidP="002A2BB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Arial" w:hAnsi="Arial" w:cs="Arial"/>
          <w:i/>
          <w:sz w:val="16"/>
          <w:szCs w:val="16"/>
        </w:rPr>
      </w:pPr>
      <w:r w:rsidRPr="00460666">
        <w:rPr>
          <w:rFonts w:ascii="Arial" w:hAnsi="Arial" w:cs="Arial"/>
          <w:i/>
          <w:sz w:val="16"/>
          <w:szCs w:val="16"/>
        </w:rPr>
        <w:t xml:space="preserve">Nota: </w:t>
      </w:r>
      <w:r w:rsidR="00BF7F89" w:rsidRPr="00BF7F89">
        <w:rPr>
          <w:rFonts w:ascii="Arial" w:hAnsi="Arial" w:cs="Arial"/>
          <w:i/>
          <w:sz w:val="16"/>
          <w:szCs w:val="16"/>
        </w:rPr>
        <w:t xml:space="preserve">In caso di mancata corresponsione dell'indennizzo automatico da parte dell’impresa distributrice entro </w:t>
      </w:r>
      <w:proofErr w:type="gramStart"/>
      <w:r w:rsidR="00BF7F89" w:rsidRPr="00BF7F89">
        <w:rPr>
          <w:rFonts w:ascii="Arial" w:hAnsi="Arial" w:cs="Arial"/>
          <w:i/>
          <w:sz w:val="16"/>
          <w:szCs w:val="16"/>
        </w:rPr>
        <w:t>6</w:t>
      </w:r>
      <w:proofErr w:type="gramEnd"/>
      <w:r w:rsidR="00BF7F89" w:rsidRPr="00BF7F89">
        <w:rPr>
          <w:rFonts w:ascii="Arial" w:hAnsi="Arial" w:cs="Arial"/>
          <w:i/>
          <w:sz w:val="16"/>
          <w:szCs w:val="16"/>
        </w:rPr>
        <w:t xml:space="preserve"> mesi a partire dalla data di effettuazione della prestazione richiesta o dalla data in cui si sarebbe dovuta effettuare la lettura con esito positivo, o al più tardi a partire dal triplo del tempo dello standard in caso di mancata effettuazione della prestazione, la corresponsione dell'indennizzo automatico dovrà avvenire in misura pari a tre volte l’indennizzo dovuto.</w:t>
      </w:r>
    </w:p>
    <w:p w14:paraId="248FC19D" w14:textId="77777777" w:rsidR="00F26BD3" w:rsidRPr="00BF7F89" w:rsidRDefault="00F26BD3" w:rsidP="002A2BB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Arial" w:hAnsi="Arial" w:cs="Arial"/>
          <w:i/>
          <w:sz w:val="16"/>
          <w:szCs w:val="16"/>
        </w:rPr>
      </w:pPr>
    </w:p>
    <w:p w14:paraId="3A036586" w14:textId="77777777" w:rsidR="00F26BD3" w:rsidRPr="00BF7F89" w:rsidRDefault="00F26BD3" w:rsidP="002A2BB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Arial" w:hAnsi="Arial" w:cs="Arial"/>
          <w:i/>
          <w:sz w:val="16"/>
          <w:szCs w:val="16"/>
        </w:rPr>
      </w:pPr>
    </w:p>
    <w:p w14:paraId="2F5A9614" w14:textId="77777777" w:rsidR="005E5883" w:rsidRPr="00BF7F89" w:rsidRDefault="005E5883" w:rsidP="002A2BB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Arial" w:hAnsi="Arial" w:cs="Arial"/>
          <w:i/>
          <w:sz w:val="16"/>
          <w:szCs w:val="16"/>
        </w:rPr>
      </w:pPr>
    </w:p>
    <w:p w14:paraId="413C5349" w14:textId="77777777" w:rsidR="00CD6D38" w:rsidRPr="00CD6D38" w:rsidRDefault="00CD6D38" w:rsidP="00CD6D38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</w:p>
    <w:p w14:paraId="4253DF14" w14:textId="77777777" w:rsidR="00F26BD3" w:rsidRDefault="00F26BD3" w:rsidP="002A2BB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Tahoma" w:hAnsi="Tahoma" w:cs="Tahoma"/>
          <w:spacing w:val="-2"/>
          <w:w w:val="98"/>
          <w:sz w:val="17"/>
          <w:szCs w:val="17"/>
        </w:rPr>
      </w:pPr>
    </w:p>
    <w:p w14:paraId="26A1C7A7" w14:textId="77777777" w:rsidR="00F26BD3" w:rsidRPr="003D0E57" w:rsidRDefault="00F26BD3" w:rsidP="002A2BB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Arial" w:hAnsi="Arial" w:cs="Arial"/>
          <w:spacing w:val="-2"/>
          <w:w w:val="98"/>
          <w:sz w:val="20"/>
          <w:szCs w:val="20"/>
        </w:rPr>
      </w:pPr>
    </w:p>
    <w:p w14:paraId="27750CCA" w14:textId="77777777" w:rsidR="00F26BD3" w:rsidRDefault="00F26BD3" w:rsidP="002A2BB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Tahoma" w:hAnsi="Tahoma" w:cs="Tahoma"/>
          <w:spacing w:val="-2"/>
          <w:w w:val="98"/>
          <w:sz w:val="17"/>
          <w:szCs w:val="17"/>
        </w:rPr>
      </w:pPr>
    </w:p>
    <w:p w14:paraId="507860EC" w14:textId="77777777" w:rsidR="00F26BD3" w:rsidRDefault="00F26BD3" w:rsidP="002A2BB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Tahoma" w:hAnsi="Tahoma" w:cs="Tahoma"/>
          <w:spacing w:val="-2"/>
          <w:w w:val="98"/>
          <w:sz w:val="17"/>
          <w:szCs w:val="17"/>
        </w:rPr>
      </w:pPr>
    </w:p>
    <w:p w14:paraId="352B18C6" w14:textId="77777777" w:rsidR="00F26BD3" w:rsidRDefault="00F26BD3" w:rsidP="002A2BB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Tahoma" w:hAnsi="Tahoma" w:cs="Tahoma"/>
          <w:spacing w:val="-2"/>
          <w:w w:val="98"/>
          <w:sz w:val="17"/>
          <w:szCs w:val="17"/>
        </w:rPr>
      </w:pPr>
    </w:p>
    <w:p w14:paraId="51623201" w14:textId="77777777" w:rsidR="00306F4F" w:rsidRPr="003D0E57" w:rsidRDefault="00306F4F" w:rsidP="003D0E57">
      <w:pPr>
        <w:autoSpaceDE w:val="0"/>
        <w:autoSpaceDN w:val="0"/>
        <w:adjustRightInd w:val="0"/>
        <w:rPr>
          <w:rFonts w:ascii="Tahoma" w:hAnsi="Tahoma" w:cs="Tahoma"/>
          <w:b/>
          <w:bCs/>
          <w:spacing w:val="-2"/>
          <w:w w:val="98"/>
          <w:sz w:val="18"/>
          <w:szCs w:val="18"/>
        </w:rPr>
      </w:pPr>
      <w:r w:rsidRPr="003D0E57">
        <w:rPr>
          <w:rFonts w:ascii="Tahoma" w:hAnsi="Tahoma" w:cs="Tahoma"/>
          <w:b/>
          <w:bCs/>
          <w:spacing w:val="-2"/>
          <w:w w:val="98"/>
          <w:sz w:val="18"/>
          <w:szCs w:val="18"/>
        </w:rPr>
        <w:t>I livelli generali di qualità commerciale</w:t>
      </w:r>
    </w:p>
    <w:p w14:paraId="3F25348B" w14:textId="77777777" w:rsidR="00306F4F" w:rsidRPr="003D0E57" w:rsidRDefault="00306F4F" w:rsidP="003D0E57">
      <w:pPr>
        <w:autoSpaceDE w:val="0"/>
        <w:autoSpaceDN w:val="0"/>
        <w:adjustRightInd w:val="0"/>
        <w:rPr>
          <w:rFonts w:ascii="Tahoma" w:hAnsi="Tahoma" w:cs="Tahoma"/>
          <w:b/>
          <w:bCs/>
          <w:spacing w:val="-2"/>
          <w:w w:val="98"/>
          <w:sz w:val="18"/>
          <w:szCs w:val="18"/>
        </w:rPr>
      </w:pP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4"/>
        <w:gridCol w:w="1798"/>
      </w:tblGrid>
      <w:tr w:rsidR="00306F4F" w:rsidRPr="00A04623" w14:paraId="1ADEEA9A" w14:textId="77777777" w:rsidTr="00B322FD">
        <w:trPr>
          <w:trHeight w:val="315"/>
        </w:trPr>
        <w:tc>
          <w:tcPr>
            <w:tcW w:w="8514" w:type="dxa"/>
            <w:shd w:val="clear" w:color="auto" w:fill="CCCCCC"/>
            <w:vAlign w:val="center"/>
          </w:tcPr>
          <w:p w14:paraId="115D8CB8" w14:textId="77777777" w:rsidR="00306F4F" w:rsidRPr="00A04623" w:rsidRDefault="00306F4F" w:rsidP="00A04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829">
              <w:rPr>
                <w:rFonts w:ascii="Arial" w:hAnsi="Arial" w:cs="Arial"/>
                <w:b/>
                <w:sz w:val="18"/>
                <w:szCs w:val="18"/>
              </w:rPr>
              <w:t>Prestazione</w:t>
            </w:r>
            <w:r w:rsidR="00227705" w:rsidRPr="00BF7F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082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227705" w:rsidRPr="00BF7F89">
              <w:rPr>
                <w:rFonts w:ascii="Arial" w:hAnsi="Arial" w:cs="Arial"/>
                <w:b/>
                <w:sz w:val="18"/>
                <w:szCs w:val="18"/>
              </w:rPr>
              <w:t>Indicatore</w:t>
            </w:r>
            <w:r w:rsidR="009B082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798" w:type="dxa"/>
            <w:shd w:val="clear" w:color="auto" w:fill="CCCCCC"/>
            <w:vAlign w:val="center"/>
          </w:tcPr>
          <w:p w14:paraId="4CEC289D" w14:textId="77777777" w:rsidR="00306F4F" w:rsidRPr="00BC7983" w:rsidRDefault="00BC7983" w:rsidP="00A04623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BF7F89">
              <w:rPr>
                <w:rFonts w:ascii="Arial" w:hAnsi="Arial" w:cs="Arial"/>
                <w:b/>
                <w:sz w:val="18"/>
                <w:szCs w:val="18"/>
              </w:rPr>
              <w:t>Livello generale</w:t>
            </w:r>
          </w:p>
        </w:tc>
      </w:tr>
      <w:tr w:rsidR="00306F4F" w:rsidRPr="00A04623" w14:paraId="3EF1FCA4" w14:textId="77777777" w:rsidTr="00B322FD">
        <w:trPr>
          <w:trHeight w:val="409"/>
        </w:trPr>
        <w:tc>
          <w:tcPr>
            <w:tcW w:w="8514" w:type="dxa"/>
            <w:vAlign w:val="center"/>
          </w:tcPr>
          <w:p w14:paraId="74DAC812" w14:textId="77777777" w:rsidR="00306F4F" w:rsidRPr="00A04623" w:rsidRDefault="00D11C93" w:rsidP="00D11C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Percentuale minima di richieste di e</w:t>
            </w:r>
            <w:r w:rsidR="00306F4F" w:rsidRPr="00A04623">
              <w:rPr>
                <w:rFonts w:ascii="Arial" w:hAnsi="Arial" w:cs="Arial"/>
                <w:sz w:val="18"/>
                <w:szCs w:val="18"/>
              </w:rPr>
              <w:t xml:space="preserve">secuzione </w:t>
            </w:r>
            <w:r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A04623">
              <w:rPr>
                <w:rFonts w:ascii="Arial" w:hAnsi="Arial" w:cs="Arial"/>
                <w:sz w:val="18"/>
                <w:szCs w:val="18"/>
              </w:rPr>
              <w:t>lavori complessi</w:t>
            </w:r>
            <w:r>
              <w:rPr>
                <w:rFonts w:ascii="Arial" w:hAnsi="Arial" w:cs="Arial"/>
                <w:sz w:val="18"/>
                <w:szCs w:val="18"/>
              </w:rPr>
              <w:t xml:space="preserve"> realizzati entro il tempo massimo di 60 giorni lavorativi </w:t>
            </w:r>
          </w:p>
        </w:tc>
        <w:tc>
          <w:tcPr>
            <w:tcW w:w="1798" w:type="dxa"/>
            <w:vAlign w:val="center"/>
          </w:tcPr>
          <w:p w14:paraId="083A483D" w14:textId="77777777" w:rsidR="00306F4F" w:rsidRPr="00A04623" w:rsidRDefault="001657B5" w:rsidP="00D11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>90</w:t>
            </w:r>
            <w:r w:rsidR="00306F4F" w:rsidRPr="00A04623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1657B5" w:rsidRPr="00A04623" w14:paraId="740B09AC" w14:textId="77777777" w:rsidTr="00B322FD">
        <w:trPr>
          <w:trHeight w:val="409"/>
        </w:trPr>
        <w:tc>
          <w:tcPr>
            <w:tcW w:w="8514" w:type="dxa"/>
            <w:vAlign w:val="center"/>
          </w:tcPr>
          <w:p w14:paraId="6475E70F" w14:textId="77777777" w:rsidR="001657B5" w:rsidRPr="00A04623" w:rsidRDefault="00D11C93" w:rsidP="00D11C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Percentuale minima di r</w:t>
            </w:r>
            <w:r w:rsidR="001657B5" w:rsidRPr="00A04623">
              <w:rPr>
                <w:rFonts w:ascii="Arial" w:hAnsi="Arial" w:cs="Arial"/>
                <w:sz w:val="18"/>
                <w:szCs w:val="18"/>
              </w:rPr>
              <w:t xml:space="preserve">isposte a reclami </w:t>
            </w:r>
            <w:r>
              <w:rPr>
                <w:rFonts w:ascii="Arial" w:hAnsi="Arial" w:cs="Arial"/>
                <w:sz w:val="18"/>
                <w:szCs w:val="18"/>
              </w:rPr>
              <w:t xml:space="preserve">scritti </w:t>
            </w:r>
            <w:r w:rsidR="001657B5" w:rsidRPr="00A04623">
              <w:rPr>
                <w:rFonts w:ascii="Arial" w:hAnsi="Arial" w:cs="Arial"/>
                <w:sz w:val="18"/>
                <w:szCs w:val="18"/>
              </w:rPr>
              <w:t xml:space="preserve">e richieste </w:t>
            </w:r>
            <w:r w:rsidRPr="00A04623">
              <w:rPr>
                <w:rFonts w:ascii="Arial" w:hAnsi="Arial" w:cs="Arial"/>
                <w:sz w:val="18"/>
                <w:szCs w:val="18"/>
              </w:rPr>
              <w:t xml:space="preserve">scritte </w:t>
            </w:r>
            <w:r w:rsidR="001657B5" w:rsidRPr="00A04623">
              <w:rPr>
                <w:rFonts w:ascii="Arial" w:hAnsi="Arial" w:cs="Arial"/>
                <w:sz w:val="18"/>
                <w:szCs w:val="18"/>
              </w:rPr>
              <w:t xml:space="preserve">di informazioni </w:t>
            </w:r>
            <w:r>
              <w:rPr>
                <w:rFonts w:ascii="Arial" w:hAnsi="Arial" w:cs="Arial"/>
                <w:sz w:val="18"/>
                <w:szCs w:val="18"/>
              </w:rPr>
              <w:t xml:space="preserve">relativi al servizio di distribuzione comunicate entro il tempo massimo di 30 giorni solari </w:t>
            </w:r>
          </w:p>
        </w:tc>
        <w:tc>
          <w:tcPr>
            <w:tcW w:w="1798" w:type="dxa"/>
            <w:vAlign w:val="center"/>
          </w:tcPr>
          <w:p w14:paraId="1A2E0F3B" w14:textId="77777777" w:rsidR="001657B5" w:rsidRPr="00A04623" w:rsidRDefault="001657B5" w:rsidP="00B32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623">
              <w:rPr>
                <w:rFonts w:ascii="Arial" w:hAnsi="Arial" w:cs="Arial"/>
                <w:sz w:val="18"/>
                <w:szCs w:val="18"/>
              </w:rPr>
              <w:t xml:space="preserve">95% </w:t>
            </w:r>
          </w:p>
        </w:tc>
      </w:tr>
    </w:tbl>
    <w:p w14:paraId="667EF103" w14:textId="77777777" w:rsidR="00136B82" w:rsidRDefault="00136B8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2EF0DEBA" w14:textId="77777777" w:rsidR="00306F4F" w:rsidRDefault="0092081B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460666">
        <w:rPr>
          <w:rFonts w:ascii="Arial" w:hAnsi="Arial" w:cs="Arial"/>
          <w:i/>
          <w:sz w:val="16"/>
          <w:szCs w:val="16"/>
        </w:rPr>
        <w:t>Nota</w:t>
      </w:r>
      <w:r w:rsidR="00230283">
        <w:rPr>
          <w:rFonts w:ascii="Arial" w:hAnsi="Arial" w:cs="Arial"/>
          <w:i/>
          <w:sz w:val="16"/>
          <w:szCs w:val="16"/>
        </w:rPr>
        <w:t>:</w:t>
      </w:r>
      <w:r w:rsidR="000B1E14" w:rsidRPr="000B1E14">
        <w:t xml:space="preserve"> </w:t>
      </w:r>
      <w:r w:rsidR="000B1E14" w:rsidRPr="000B1E14">
        <w:rPr>
          <w:rFonts w:ascii="Arial" w:hAnsi="Arial" w:cs="Arial"/>
          <w:i/>
          <w:sz w:val="16"/>
          <w:szCs w:val="16"/>
        </w:rPr>
        <w:t>“livello generale di qualità” è il livello di qualità riferito al complesso delle</w:t>
      </w:r>
      <w:r w:rsidR="000B1E14">
        <w:rPr>
          <w:rFonts w:ascii="Arial" w:hAnsi="Arial" w:cs="Arial"/>
          <w:i/>
          <w:sz w:val="16"/>
          <w:szCs w:val="16"/>
        </w:rPr>
        <w:t xml:space="preserve"> </w:t>
      </w:r>
      <w:r w:rsidR="000B1E14" w:rsidRPr="000B1E14">
        <w:rPr>
          <w:rFonts w:ascii="Arial" w:hAnsi="Arial" w:cs="Arial"/>
          <w:i/>
          <w:sz w:val="16"/>
          <w:szCs w:val="16"/>
        </w:rPr>
        <w:t>prestazioni;</w:t>
      </w:r>
      <w:r w:rsidR="000B1E14">
        <w:rPr>
          <w:rFonts w:ascii="Arial" w:hAnsi="Arial" w:cs="Arial"/>
          <w:i/>
          <w:sz w:val="16"/>
          <w:szCs w:val="16"/>
        </w:rPr>
        <w:t xml:space="preserve"> alle prestazioni soggette a livelli generali di qualità commerciale non</w:t>
      </w:r>
      <w:r w:rsidR="000B1E14" w:rsidRPr="00306F4F">
        <w:rPr>
          <w:rFonts w:ascii="Arial" w:hAnsi="Arial" w:cs="Arial"/>
          <w:i/>
          <w:sz w:val="16"/>
          <w:szCs w:val="16"/>
        </w:rPr>
        <w:t xml:space="preserve"> si applica la disciplina degli indennizzi automati</w:t>
      </w:r>
      <w:r w:rsidR="000B1E14">
        <w:rPr>
          <w:rFonts w:ascii="Arial" w:hAnsi="Arial" w:cs="Arial"/>
          <w:i/>
          <w:sz w:val="16"/>
          <w:szCs w:val="16"/>
        </w:rPr>
        <w:t>ci.</w:t>
      </w:r>
    </w:p>
    <w:p w14:paraId="699D48DB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5200D7BE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tbl>
      <w:tblPr>
        <w:tblW w:w="8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2602"/>
        <w:gridCol w:w="2126"/>
      </w:tblGrid>
      <w:tr w:rsidR="00BF7F89" w:rsidRPr="00136B82" w14:paraId="183FBA60" w14:textId="77777777" w:rsidTr="00BF7F89">
        <w:trPr>
          <w:trHeight w:val="318"/>
        </w:trPr>
        <w:tc>
          <w:tcPr>
            <w:tcW w:w="4149" w:type="dxa"/>
            <w:shd w:val="clear" w:color="auto" w:fill="CCCCCC"/>
            <w:vAlign w:val="center"/>
          </w:tcPr>
          <w:p w14:paraId="05617A3B" w14:textId="77777777" w:rsidR="00BF7F89" w:rsidRPr="00A04623" w:rsidRDefault="00BF7F89" w:rsidP="009F2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623">
              <w:rPr>
                <w:rFonts w:ascii="Arial" w:hAnsi="Arial" w:cs="Arial"/>
                <w:b/>
                <w:sz w:val="16"/>
                <w:szCs w:val="16"/>
              </w:rPr>
              <w:t xml:space="preserve">Tipologia </w:t>
            </w:r>
            <w:r w:rsidRPr="00BF7F89">
              <w:rPr>
                <w:rFonts w:ascii="Arial" w:hAnsi="Arial" w:cs="Arial"/>
                <w:b/>
                <w:sz w:val="16"/>
                <w:szCs w:val="16"/>
              </w:rPr>
              <w:t>di</w:t>
            </w:r>
            <w:r w:rsidRPr="00A04623">
              <w:rPr>
                <w:rFonts w:ascii="Arial" w:hAnsi="Arial" w:cs="Arial"/>
                <w:b/>
                <w:sz w:val="16"/>
                <w:szCs w:val="16"/>
              </w:rPr>
              <w:t xml:space="preserve"> dati tecnici </w:t>
            </w:r>
            <w:r w:rsidRPr="00BF7F89">
              <w:rPr>
                <w:rFonts w:ascii="Arial" w:hAnsi="Arial" w:cs="Arial"/>
                <w:b/>
                <w:sz w:val="16"/>
                <w:szCs w:val="16"/>
              </w:rPr>
              <w:t>richiesti</w:t>
            </w:r>
          </w:p>
        </w:tc>
        <w:tc>
          <w:tcPr>
            <w:tcW w:w="2602" w:type="dxa"/>
            <w:shd w:val="clear" w:color="auto" w:fill="CCCCCC"/>
            <w:vAlign w:val="center"/>
          </w:tcPr>
          <w:p w14:paraId="079AD39F" w14:textId="77777777" w:rsidR="00BF7F89" w:rsidRPr="00A04623" w:rsidRDefault="00BF7F89" w:rsidP="009F2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Motivazione richiesta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59B5385A" w14:textId="77777777" w:rsidR="00BF7F89" w:rsidRPr="00BC7983" w:rsidRDefault="00BF7F89" w:rsidP="009F2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  <w:r w:rsidRPr="00BF7F89">
              <w:rPr>
                <w:rFonts w:ascii="Arial" w:hAnsi="Arial" w:cs="Arial"/>
                <w:b/>
                <w:sz w:val="16"/>
                <w:szCs w:val="16"/>
              </w:rPr>
              <w:t xml:space="preserve">Livello </w:t>
            </w:r>
            <w:r>
              <w:rPr>
                <w:rFonts w:ascii="Arial" w:hAnsi="Arial" w:cs="Arial"/>
                <w:b/>
                <w:sz w:val="16"/>
                <w:szCs w:val="16"/>
              </w:rPr>
              <w:t>generale</w:t>
            </w:r>
          </w:p>
        </w:tc>
      </w:tr>
      <w:tr w:rsidR="00BF7F89" w:rsidRPr="00A04623" w14:paraId="106FD7DA" w14:textId="77777777" w:rsidTr="00BF7F89">
        <w:trPr>
          <w:trHeight w:val="1051"/>
        </w:trPr>
        <w:tc>
          <w:tcPr>
            <w:tcW w:w="4149" w:type="dxa"/>
            <w:vAlign w:val="center"/>
          </w:tcPr>
          <w:p w14:paraId="5FDDBB02" w14:textId="77777777" w:rsidR="00BF7F89" w:rsidRPr="00A04623" w:rsidRDefault="00BF7F89" w:rsidP="00B322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04623">
              <w:rPr>
                <w:rFonts w:ascii="Arial" w:hAnsi="Arial" w:cs="Arial"/>
                <w:sz w:val="18"/>
                <w:szCs w:val="18"/>
              </w:rPr>
              <w:t xml:space="preserve">ati acquisibili con lettura </w:t>
            </w:r>
            <w:r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A04623">
              <w:rPr>
                <w:rFonts w:ascii="Arial" w:hAnsi="Arial" w:cs="Arial"/>
                <w:sz w:val="18"/>
                <w:szCs w:val="18"/>
              </w:rPr>
              <w:t>gruppo di misura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02" w:type="dxa"/>
            <w:vAlign w:val="center"/>
          </w:tcPr>
          <w:p w14:paraId="585C162A" w14:textId="77777777" w:rsidR="00BF7F89" w:rsidRPr="00A04623" w:rsidRDefault="00BF7F89" w:rsidP="00B32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Reclami/richieste ricevute dal venditore per telefono</w:t>
            </w:r>
          </w:p>
        </w:tc>
        <w:tc>
          <w:tcPr>
            <w:tcW w:w="2126" w:type="dxa"/>
            <w:vAlign w:val="center"/>
          </w:tcPr>
          <w:p w14:paraId="5FCB2C50" w14:textId="77777777" w:rsidR="00BF7F89" w:rsidRPr="00A04623" w:rsidRDefault="00BF7F89" w:rsidP="009F2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giorni lavorativi nel 95% dei casi</w:t>
            </w:r>
          </w:p>
        </w:tc>
      </w:tr>
      <w:tr w:rsidR="00BF7F89" w:rsidRPr="00A04623" w14:paraId="3751F4A4" w14:textId="77777777" w:rsidTr="00BF7F89">
        <w:trPr>
          <w:trHeight w:val="981"/>
        </w:trPr>
        <w:tc>
          <w:tcPr>
            <w:tcW w:w="4149" w:type="dxa"/>
            <w:vAlign w:val="center"/>
          </w:tcPr>
          <w:p w14:paraId="2DB8710E" w14:textId="77777777" w:rsidR="00BF7F89" w:rsidRPr="00A04623" w:rsidRDefault="00BF7F89" w:rsidP="00B322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04623">
              <w:rPr>
                <w:rFonts w:ascii="Arial" w:hAnsi="Arial" w:cs="Arial"/>
                <w:sz w:val="18"/>
                <w:szCs w:val="18"/>
              </w:rPr>
              <w:t>ltri dati tecnici</w:t>
            </w:r>
            <w:r>
              <w:rPr>
                <w:rFonts w:ascii="Arial" w:hAnsi="Arial" w:cs="Arial"/>
                <w:sz w:val="18"/>
                <w:szCs w:val="18"/>
              </w:rPr>
              <w:t xml:space="preserve"> semplici</w:t>
            </w:r>
          </w:p>
        </w:tc>
        <w:tc>
          <w:tcPr>
            <w:tcW w:w="2602" w:type="dxa"/>
            <w:vAlign w:val="center"/>
          </w:tcPr>
          <w:p w14:paraId="17D5FC08" w14:textId="77777777" w:rsidR="00BF7F89" w:rsidRPr="00A04623" w:rsidRDefault="00BF7F89" w:rsidP="009F2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Reclami/richieste ricevute dal venditore per telefono</w:t>
            </w:r>
          </w:p>
        </w:tc>
        <w:tc>
          <w:tcPr>
            <w:tcW w:w="2126" w:type="dxa"/>
            <w:vAlign w:val="center"/>
          </w:tcPr>
          <w:p w14:paraId="07327F80" w14:textId="77777777" w:rsidR="00BF7F89" w:rsidRPr="00A04623" w:rsidRDefault="00BF7F89" w:rsidP="009F2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giorni lavorativi nel 95% dei casi</w:t>
            </w:r>
          </w:p>
        </w:tc>
      </w:tr>
    </w:tbl>
    <w:p w14:paraId="5E2318AF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0376DB01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01BC5849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31938E5C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04C92EDA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351719FE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524CF2F9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6D122228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6BB5415B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23991E65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442FD68B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7A4661C4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7921A325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1A7CC7E4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400D3CA3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56DC05A4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51D148E8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64E6CE6F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058A7695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2BF3E814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471B18B6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758FE8F6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2CE92652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076FE27F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6A50D948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3AAC935F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099E72CA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1EA6699B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712E17F4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1059D1C5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60D13C38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56001F63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5DC0FA25" w14:textId="77777777" w:rsidR="00707411" w:rsidRDefault="00707411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4F494DD5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4A3BCFE7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73A39D7E" w14:textId="77777777" w:rsidR="002F6302" w:rsidRPr="00CD6D38" w:rsidRDefault="002F6302" w:rsidP="00CD6D38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</w:p>
    <w:sectPr w:rsidR="002F6302" w:rsidRPr="00CD6D38" w:rsidSect="00701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639E" w14:textId="77777777" w:rsidR="00B22C39" w:rsidRDefault="00B22C39">
      <w:r>
        <w:separator/>
      </w:r>
    </w:p>
  </w:endnote>
  <w:endnote w:type="continuationSeparator" w:id="0">
    <w:p w14:paraId="5E57CA42" w14:textId="77777777" w:rsidR="00B22C39" w:rsidRDefault="00B2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EB01" w14:textId="77777777" w:rsidR="00AD47E0" w:rsidRDefault="00AD47E0" w:rsidP="00E660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2C38EA" w14:textId="77777777" w:rsidR="00AD47E0" w:rsidRDefault="00AD47E0" w:rsidP="002F63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5294" w14:textId="77777777" w:rsidR="00AD47E0" w:rsidRDefault="00AD47E0" w:rsidP="00E660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t>Pag.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322FD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di 4</w:t>
    </w:r>
  </w:p>
  <w:p w14:paraId="1BF3A001" w14:textId="77777777" w:rsidR="00B322FD" w:rsidRPr="00CD6D38" w:rsidRDefault="00B322FD" w:rsidP="00B322FD">
    <w:pPr>
      <w:autoSpaceDE w:val="0"/>
      <w:autoSpaceDN w:val="0"/>
      <w:adjustRightInd w:val="0"/>
      <w:jc w:val="center"/>
      <w:rPr>
        <w:rFonts w:ascii="Arial" w:hAnsi="Arial" w:cs="Arial"/>
        <w:b/>
        <w:i/>
        <w:sz w:val="16"/>
        <w:szCs w:val="16"/>
      </w:rPr>
    </w:pPr>
    <w:r w:rsidRPr="00CD6D38">
      <w:rPr>
        <w:rFonts w:ascii="Arial" w:hAnsi="Arial" w:cs="Arial"/>
        <w:b/>
        <w:i/>
        <w:sz w:val="16"/>
        <w:szCs w:val="16"/>
      </w:rPr>
      <w:t>Toscana Energia S.p.A.</w:t>
    </w:r>
  </w:p>
  <w:p w14:paraId="6C4E0E97" w14:textId="77777777" w:rsidR="00B322FD" w:rsidRPr="002F6302" w:rsidRDefault="00B322FD" w:rsidP="00B322FD">
    <w:pPr>
      <w:jc w:val="center"/>
      <w:rPr>
        <w:rFonts w:ascii="Arial" w:hAnsi="Arial" w:cs="Arial"/>
        <w:b/>
        <w:i/>
        <w:sz w:val="16"/>
        <w:szCs w:val="16"/>
      </w:rPr>
    </w:pPr>
    <w:r w:rsidRPr="002F6302">
      <w:rPr>
        <w:rFonts w:ascii="Arial" w:hAnsi="Arial" w:cs="Arial"/>
        <w:b/>
        <w:i/>
        <w:sz w:val="16"/>
        <w:szCs w:val="16"/>
      </w:rPr>
      <w:t>Servizio di “Pronto Intervento per Guasti e Dispersioni” attivo tutti i giorni 24 ore su 24</w:t>
    </w:r>
  </w:p>
  <w:p w14:paraId="0992BAF5" w14:textId="77777777" w:rsidR="00B322FD" w:rsidRPr="002F6302" w:rsidRDefault="00B322FD" w:rsidP="00B322FD">
    <w:pPr>
      <w:jc w:val="center"/>
      <w:rPr>
        <w:rFonts w:ascii="Arial" w:hAnsi="Arial" w:cs="Arial"/>
        <w:b/>
        <w:i/>
        <w:sz w:val="16"/>
        <w:szCs w:val="16"/>
      </w:rPr>
    </w:pPr>
    <w:r w:rsidRPr="002F6302">
      <w:rPr>
        <w:rFonts w:ascii="Arial" w:hAnsi="Arial" w:cs="Arial"/>
        <w:b/>
        <w:i/>
        <w:sz w:val="16"/>
        <w:szCs w:val="16"/>
      </w:rPr>
      <w:t>Numero verde 800.900202</w:t>
    </w:r>
  </w:p>
  <w:p w14:paraId="5D1B0578" w14:textId="77777777" w:rsidR="00AD47E0" w:rsidRDefault="00AD47E0" w:rsidP="002F6302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A2AD" w14:textId="77777777" w:rsidR="00DD6AE7" w:rsidRDefault="00DD6A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6189" w14:textId="77777777" w:rsidR="00B22C39" w:rsidRDefault="00B22C39">
      <w:r>
        <w:separator/>
      </w:r>
    </w:p>
  </w:footnote>
  <w:footnote w:type="continuationSeparator" w:id="0">
    <w:p w14:paraId="555CED95" w14:textId="77777777" w:rsidR="00B22C39" w:rsidRDefault="00B22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DC71" w14:textId="77777777" w:rsidR="00DD6AE7" w:rsidRDefault="00DD6A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6FBA" w14:textId="0A89D4DE" w:rsidR="00DD6AE7" w:rsidRDefault="009B4B8C" w:rsidP="009B4B8C">
    <w:pPr>
      <w:pStyle w:val="Intestazione"/>
      <w:ind w:left="708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C3F599" wp14:editId="52E7AEB4">
          <wp:simplePos x="0" y="0"/>
          <wp:positionH relativeFrom="column">
            <wp:posOffset>26035</wp:posOffset>
          </wp:positionH>
          <wp:positionV relativeFrom="paragraph">
            <wp:posOffset>-141467</wp:posOffset>
          </wp:positionV>
          <wp:extent cx="1470992" cy="735496"/>
          <wp:effectExtent l="0" t="0" r="2540" b="1270"/>
          <wp:wrapNone/>
          <wp:docPr id="4" name="Immagine 4" descr="Immagine che contiene logo, Carattere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logo, Carattere, test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50" t="27977" r="20543" b="30167"/>
                  <a:stretch/>
                </pic:blipFill>
                <pic:spPr bwMode="auto">
                  <a:xfrm>
                    <a:off x="0" y="0"/>
                    <a:ext cx="1470992" cy="735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6AE7">
      <w:rPr>
        <w:rFonts w:ascii="Tahoma" w:hAnsi="Tahoma" w:cs="Tahoma"/>
        <w:sz w:val="16"/>
        <w:szCs w:val="16"/>
      </w:rPr>
      <w:tab/>
    </w:r>
    <w:r w:rsidR="00AD47E0">
      <w:rPr>
        <w:rFonts w:ascii="Tahoma" w:hAnsi="Tahoma" w:cs="Tahoma"/>
        <w:sz w:val="16"/>
        <w:szCs w:val="16"/>
      </w:rPr>
      <w:t xml:space="preserve">                                                                               </w:t>
    </w:r>
    <w:r w:rsidR="00DD6AE7" w:rsidRPr="00DD6AE7">
      <w:rPr>
        <w:rFonts w:ascii="Tahoma" w:hAnsi="Tahoma" w:cs="Tahoma"/>
        <w:b/>
        <w:bCs/>
        <w:sz w:val="16"/>
        <w:szCs w:val="16"/>
      </w:rPr>
      <w:t>Toscana Energia S.p.A.</w:t>
    </w:r>
  </w:p>
  <w:p w14:paraId="34E6D61E" w14:textId="53CBD6AF" w:rsidR="00AD47E0" w:rsidRPr="00CF425A" w:rsidRDefault="00DD6AE7" w:rsidP="009B4B8C">
    <w:pPr>
      <w:pStyle w:val="Intestazione"/>
      <w:jc w:val="right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 w:rsidR="00AD47E0">
      <w:rPr>
        <w:rFonts w:ascii="Tahoma" w:hAnsi="Tahoma" w:cs="Tahoma"/>
        <w:sz w:val="16"/>
        <w:szCs w:val="16"/>
      </w:rPr>
      <w:t xml:space="preserve"> </w:t>
    </w:r>
    <w:r w:rsidR="00AD47E0" w:rsidRPr="00CF425A">
      <w:rPr>
        <w:rFonts w:ascii="Tahoma" w:hAnsi="Tahoma" w:cs="Tahoma"/>
        <w:sz w:val="14"/>
        <w:szCs w:val="14"/>
      </w:rPr>
      <w:t>Sede legale:</w:t>
    </w:r>
    <w:r w:rsidR="002233F5">
      <w:rPr>
        <w:rFonts w:ascii="Tahoma" w:hAnsi="Tahoma" w:cs="Tahoma"/>
        <w:sz w:val="14"/>
        <w:szCs w:val="14"/>
      </w:rPr>
      <w:t xml:space="preserve"> Piazza Mattei 3 –50127</w:t>
    </w:r>
    <w:r w:rsidR="00AD47E0" w:rsidRPr="00CF425A">
      <w:rPr>
        <w:rFonts w:ascii="Tahoma" w:hAnsi="Tahoma" w:cs="Tahoma"/>
        <w:sz w:val="14"/>
        <w:szCs w:val="14"/>
      </w:rPr>
      <w:t xml:space="preserve"> </w:t>
    </w:r>
    <w:r w:rsidR="002233F5">
      <w:rPr>
        <w:rFonts w:ascii="Tahoma" w:hAnsi="Tahoma" w:cs="Tahoma"/>
        <w:sz w:val="14"/>
        <w:szCs w:val="14"/>
      </w:rPr>
      <w:t>F</w:t>
    </w:r>
    <w:r w:rsidR="00AD47E0" w:rsidRPr="00CF425A">
      <w:rPr>
        <w:rFonts w:ascii="Tahoma" w:hAnsi="Tahoma" w:cs="Tahoma"/>
        <w:sz w:val="14"/>
        <w:szCs w:val="14"/>
      </w:rPr>
      <w:t>irenze</w:t>
    </w:r>
  </w:p>
  <w:p w14:paraId="16B11AC9" w14:textId="0252481C" w:rsidR="00AD47E0" w:rsidRPr="00CF425A" w:rsidRDefault="00AD47E0" w:rsidP="009B4B8C">
    <w:pPr>
      <w:pStyle w:val="Intestazione"/>
      <w:jc w:val="right"/>
      <w:rPr>
        <w:rFonts w:ascii="Tahoma" w:hAnsi="Tahoma" w:cs="Tahoma"/>
        <w:sz w:val="14"/>
        <w:szCs w:val="14"/>
      </w:rPr>
    </w:pPr>
    <w:r w:rsidRPr="00CF425A">
      <w:rPr>
        <w:rFonts w:ascii="Tahoma" w:hAnsi="Tahoma" w:cs="Tahoma"/>
        <w:sz w:val="14"/>
        <w:szCs w:val="14"/>
      </w:rPr>
      <w:t xml:space="preserve">                                                                                                                                                           </w:t>
    </w:r>
    <w:r>
      <w:rPr>
        <w:rFonts w:ascii="Tahoma" w:hAnsi="Tahoma" w:cs="Tahoma"/>
        <w:sz w:val="14"/>
        <w:szCs w:val="14"/>
      </w:rPr>
      <w:t xml:space="preserve">                             </w:t>
    </w:r>
    <w:r w:rsidRPr="00CF425A">
      <w:rPr>
        <w:rFonts w:ascii="Tahoma" w:hAnsi="Tahoma" w:cs="Tahoma"/>
        <w:sz w:val="14"/>
        <w:szCs w:val="14"/>
      </w:rPr>
      <w:t>Tel. 055.43801 – Fax 055.216390</w:t>
    </w:r>
  </w:p>
  <w:p w14:paraId="235D5B5A" w14:textId="77777777" w:rsidR="00AD47E0" w:rsidRPr="00CF425A" w:rsidRDefault="00AD47E0" w:rsidP="009B4B8C">
    <w:pPr>
      <w:pStyle w:val="Intestazione"/>
      <w:jc w:val="right"/>
      <w:rPr>
        <w:rFonts w:ascii="Tahoma" w:hAnsi="Tahoma" w:cs="Tahoma"/>
        <w:sz w:val="14"/>
        <w:szCs w:val="14"/>
      </w:rPr>
    </w:pPr>
    <w:r w:rsidRPr="00CF425A">
      <w:rPr>
        <w:rFonts w:ascii="Tahoma" w:hAnsi="Tahoma" w:cs="Tahoma"/>
        <w:sz w:val="14"/>
        <w:szCs w:val="14"/>
      </w:rPr>
      <w:t xml:space="preserve">                                                                                                                                </w:t>
    </w:r>
    <w:r>
      <w:rPr>
        <w:rFonts w:ascii="Tahoma" w:hAnsi="Tahoma" w:cs="Tahoma"/>
        <w:sz w:val="14"/>
        <w:szCs w:val="14"/>
      </w:rPr>
      <w:t xml:space="preserve">                            </w:t>
    </w:r>
    <w:r w:rsidRPr="00CF425A">
      <w:rPr>
        <w:rFonts w:ascii="Tahoma" w:hAnsi="Tahoma" w:cs="Tahoma"/>
        <w:sz w:val="14"/>
        <w:szCs w:val="14"/>
      </w:rPr>
      <w:t>Sede Amministrativa: Via A. Bellatalla, 1 – 56121 Pisa</w:t>
    </w:r>
  </w:p>
  <w:p w14:paraId="4F86465D" w14:textId="77777777" w:rsidR="00AD47E0" w:rsidRPr="00CF425A" w:rsidRDefault="00AD47E0" w:rsidP="009B4B8C">
    <w:pPr>
      <w:pStyle w:val="Intestazione"/>
      <w:tabs>
        <w:tab w:val="clear" w:pos="9638"/>
        <w:tab w:val="right" w:pos="10260"/>
      </w:tabs>
      <w:jc w:val="right"/>
      <w:rPr>
        <w:rFonts w:ascii="Tahoma" w:hAnsi="Tahoma" w:cs="Tahoma"/>
        <w:sz w:val="14"/>
        <w:szCs w:val="14"/>
        <w:lang w:val="en-GB"/>
      </w:rPr>
    </w:pPr>
    <w:r>
      <w:rPr>
        <w:rFonts w:ascii="Tahoma" w:hAnsi="Tahoma" w:cs="Tahoma"/>
        <w:sz w:val="14"/>
        <w:szCs w:val="14"/>
      </w:rPr>
      <w:tab/>
      <w:t xml:space="preserve">                                                                                                                                                                                     </w:t>
    </w:r>
    <w:r w:rsidRPr="00CF425A">
      <w:rPr>
        <w:rFonts w:ascii="Tahoma" w:hAnsi="Tahoma" w:cs="Tahoma"/>
        <w:sz w:val="14"/>
        <w:szCs w:val="14"/>
        <w:lang w:val="en-GB"/>
      </w:rPr>
      <w:t>Tel. 050.848111 – Fax 050.9711258</w:t>
    </w:r>
  </w:p>
  <w:p w14:paraId="6D46403D" w14:textId="77777777" w:rsidR="00AD47E0" w:rsidRPr="00CF425A" w:rsidRDefault="00AD47E0" w:rsidP="009B4B8C">
    <w:pPr>
      <w:pStyle w:val="Intestazione"/>
      <w:tabs>
        <w:tab w:val="clear" w:pos="9638"/>
        <w:tab w:val="right" w:pos="10260"/>
      </w:tabs>
      <w:jc w:val="right"/>
      <w:rPr>
        <w:rFonts w:ascii="Tahoma" w:hAnsi="Tahoma" w:cs="Tahoma"/>
        <w:sz w:val="14"/>
        <w:szCs w:val="14"/>
        <w:lang w:val="en-GB"/>
      </w:rPr>
    </w:pPr>
    <w:r w:rsidRPr="00CF425A">
      <w:rPr>
        <w:rFonts w:ascii="Tahoma" w:hAnsi="Tahoma" w:cs="Tahoma"/>
        <w:b/>
        <w:sz w:val="14"/>
        <w:szCs w:val="14"/>
        <w:lang w:val="en-GB"/>
      </w:rPr>
      <w:tab/>
      <w:t xml:space="preserve">                                 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sz w:val="14"/>
        <w:szCs w:val="14"/>
        <w:lang w:val="en-GB"/>
      </w:rPr>
      <w:t xml:space="preserve">                              </w:t>
    </w:r>
    <w:r w:rsidRPr="00CF425A">
      <w:rPr>
        <w:rFonts w:ascii="Tahoma" w:hAnsi="Tahoma" w:cs="Tahoma"/>
        <w:sz w:val="14"/>
        <w:szCs w:val="14"/>
        <w:lang w:val="en-GB"/>
      </w:rPr>
      <w:t>www.toscanaenergia.eu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9850" w14:textId="77777777" w:rsidR="00DD6AE7" w:rsidRDefault="00DD6A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D0"/>
    <w:rsid w:val="00001308"/>
    <w:rsid w:val="00002B2E"/>
    <w:rsid w:val="00002E53"/>
    <w:rsid w:val="000033E2"/>
    <w:rsid w:val="000054B1"/>
    <w:rsid w:val="000059BD"/>
    <w:rsid w:val="000063E7"/>
    <w:rsid w:val="00006682"/>
    <w:rsid w:val="000141AE"/>
    <w:rsid w:val="0001440A"/>
    <w:rsid w:val="00014A48"/>
    <w:rsid w:val="00016097"/>
    <w:rsid w:val="00020F3C"/>
    <w:rsid w:val="00021552"/>
    <w:rsid w:val="00023E18"/>
    <w:rsid w:val="0002699A"/>
    <w:rsid w:val="00040A25"/>
    <w:rsid w:val="00041F14"/>
    <w:rsid w:val="00043007"/>
    <w:rsid w:val="00045B85"/>
    <w:rsid w:val="000471D9"/>
    <w:rsid w:val="00056346"/>
    <w:rsid w:val="000636E4"/>
    <w:rsid w:val="00063844"/>
    <w:rsid w:val="0006420E"/>
    <w:rsid w:val="00064BEC"/>
    <w:rsid w:val="000668D8"/>
    <w:rsid w:val="0007416C"/>
    <w:rsid w:val="000745D8"/>
    <w:rsid w:val="00076092"/>
    <w:rsid w:val="00081F49"/>
    <w:rsid w:val="00083899"/>
    <w:rsid w:val="00084090"/>
    <w:rsid w:val="00084360"/>
    <w:rsid w:val="00086EFD"/>
    <w:rsid w:val="000877E0"/>
    <w:rsid w:val="00090613"/>
    <w:rsid w:val="00091F80"/>
    <w:rsid w:val="00093DB8"/>
    <w:rsid w:val="00094AFF"/>
    <w:rsid w:val="000A2B2E"/>
    <w:rsid w:val="000A4B77"/>
    <w:rsid w:val="000A6753"/>
    <w:rsid w:val="000B0F9F"/>
    <w:rsid w:val="000B1E14"/>
    <w:rsid w:val="000B2D03"/>
    <w:rsid w:val="000C2BA8"/>
    <w:rsid w:val="000C77A6"/>
    <w:rsid w:val="000D0BE5"/>
    <w:rsid w:val="000D11F9"/>
    <w:rsid w:val="000D5068"/>
    <w:rsid w:val="000D5432"/>
    <w:rsid w:val="000D7ED5"/>
    <w:rsid w:val="000E1002"/>
    <w:rsid w:val="000E4C1A"/>
    <w:rsid w:val="000E68E0"/>
    <w:rsid w:val="000F027E"/>
    <w:rsid w:val="000F349D"/>
    <w:rsid w:val="000F3DAB"/>
    <w:rsid w:val="000F626F"/>
    <w:rsid w:val="000F68A5"/>
    <w:rsid w:val="000F7DBC"/>
    <w:rsid w:val="00103BA1"/>
    <w:rsid w:val="00105FCF"/>
    <w:rsid w:val="001064A4"/>
    <w:rsid w:val="0012378B"/>
    <w:rsid w:val="001279A2"/>
    <w:rsid w:val="0013088F"/>
    <w:rsid w:val="00130F1F"/>
    <w:rsid w:val="00131BCB"/>
    <w:rsid w:val="00132BF3"/>
    <w:rsid w:val="00136B82"/>
    <w:rsid w:val="001375AB"/>
    <w:rsid w:val="00144161"/>
    <w:rsid w:val="001477C3"/>
    <w:rsid w:val="00147956"/>
    <w:rsid w:val="001546B1"/>
    <w:rsid w:val="0015487D"/>
    <w:rsid w:val="001555F7"/>
    <w:rsid w:val="00155AF1"/>
    <w:rsid w:val="00156DDE"/>
    <w:rsid w:val="0016402E"/>
    <w:rsid w:val="001657B5"/>
    <w:rsid w:val="00172A3E"/>
    <w:rsid w:val="0017566F"/>
    <w:rsid w:val="00180804"/>
    <w:rsid w:val="00187B39"/>
    <w:rsid w:val="00192AFA"/>
    <w:rsid w:val="0019427D"/>
    <w:rsid w:val="001951B6"/>
    <w:rsid w:val="001964A2"/>
    <w:rsid w:val="00197130"/>
    <w:rsid w:val="001A67D3"/>
    <w:rsid w:val="001A7FEF"/>
    <w:rsid w:val="001B129C"/>
    <w:rsid w:val="001B7D56"/>
    <w:rsid w:val="001C1805"/>
    <w:rsid w:val="001C71BD"/>
    <w:rsid w:val="001E41B1"/>
    <w:rsid w:val="001E7C68"/>
    <w:rsid w:val="001F0E4B"/>
    <w:rsid w:val="001F0FA3"/>
    <w:rsid w:val="001F10DD"/>
    <w:rsid w:val="001F1A02"/>
    <w:rsid w:val="00201100"/>
    <w:rsid w:val="0020369C"/>
    <w:rsid w:val="0020551E"/>
    <w:rsid w:val="0020794D"/>
    <w:rsid w:val="00211C3A"/>
    <w:rsid w:val="002129E3"/>
    <w:rsid w:val="0021706E"/>
    <w:rsid w:val="002205BE"/>
    <w:rsid w:val="002233F5"/>
    <w:rsid w:val="00227705"/>
    <w:rsid w:val="00230283"/>
    <w:rsid w:val="002307A1"/>
    <w:rsid w:val="00230BE1"/>
    <w:rsid w:val="002345D5"/>
    <w:rsid w:val="00237FDE"/>
    <w:rsid w:val="002403BB"/>
    <w:rsid w:val="00240CA6"/>
    <w:rsid w:val="00240D7B"/>
    <w:rsid w:val="0025400C"/>
    <w:rsid w:val="00255810"/>
    <w:rsid w:val="0025583F"/>
    <w:rsid w:val="00255B77"/>
    <w:rsid w:val="0025630E"/>
    <w:rsid w:val="00263889"/>
    <w:rsid w:val="00263F0B"/>
    <w:rsid w:val="002673B9"/>
    <w:rsid w:val="0027010A"/>
    <w:rsid w:val="00272EB0"/>
    <w:rsid w:val="00283EB2"/>
    <w:rsid w:val="00285DF5"/>
    <w:rsid w:val="0029093E"/>
    <w:rsid w:val="00291888"/>
    <w:rsid w:val="00291F94"/>
    <w:rsid w:val="002A2BB7"/>
    <w:rsid w:val="002A57C5"/>
    <w:rsid w:val="002A6F04"/>
    <w:rsid w:val="002B1DB2"/>
    <w:rsid w:val="002B4505"/>
    <w:rsid w:val="002B7965"/>
    <w:rsid w:val="002C0807"/>
    <w:rsid w:val="002C0FF9"/>
    <w:rsid w:val="002C1841"/>
    <w:rsid w:val="002C263B"/>
    <w:rsid w:val="002D243B"/>
    <w:rsid w:val="002D3FD7"/>
    <w:rsid w:val="002D56E9"/>
    <w:rsid w:val="002D722C"/>
    <w:rsid w:val="002E09B0"/>
    <w:rsid w:val="002E2DE7"/>
    <w:rsid w:val="002E641C"/>
    <w:rsid w:val="002E7EC8"/>
    <w:rsid w:val="002F0B6B"/>
    <w:rsid w:val="002F160A"/>
    <w:rsid w:val="002F6302"/>
    <w:rsid w:val="00301CB1"/>
    <w:rsid w:val="00304333"/>
    <w:rsid w:val="00305DCE"/>
    <w:rsid w:val="0030616E"/>
    <w:rsid w:val="00306E60"/>
    <w:rsid w:val="00306F4F"/>
    <w:rsid w:val="00307AE2"/>
    <w:rsid w:val="00311178"/>
    <w:rsid w:val="003122D8"/>
    <w:rsid w:val="00312E81"/>
    <w:rsid w:val="003130C2"/>
    <w:rsid w:val="00316A0D"/>
    <w:rsid w:val="00321AA2"/>
    <w:rsid w:val="00322EE6"/>
    <w:rsid w:val="003307BB"/>
    <w:rsid w:val="00337C5D"/>
    <w:rsid w:val="00340019"/>
    <w:rsid w:val="0034018E"/>
    <w:rsid w:val="0034288F"/>
    <w:rsid w:val="0034300B"/>
    <w:rsid w:val="00351FA2"/>
    <w:rsid w:val="003559A0"/>
    <w:rsid w:val="003577D1"/>
    <w:rsid w:val="003609F5"/>
    <w:rsid w:val="0036458C"/>
    <w:rsid w:val="00364B2C"/>
    <w:rsid w:val="0036638A"/>
    <w:rsid w:val="00367A4A"/>
    <w:rsid w:val="00371A98"/>
    <w:rsid w:val="0037200A"/>
    <w:rsid w:val="003776B8"/>
    <w:rsid w:val="0038185A"/>
    <w:rsid w:val="0038378A"/>
    <w:rsid w:val="00384AD3"/>
    <w:rsid w:val="00385995"/>
    <w:rsid w:val="00385C17"/>
    <w:rsid w:val="00385FD5"/>
    <w:rsid w:val="00386DFE"/>
    <w:rsid w:val="00391C55"/>
    <w:rsid w:val="00393202"/>
    <w:rsid w:val="00393879"/>
    <w:rsid w:val="00397B46"/>
    <w:rsid w:val="003A03BA"/>
    <w:rsid w:val="003A080B"/>
    <w:rsid w:val="003A2044"/>
    <w:rsid w:val="003A39F5"/>
    <w:rsid w:val="003B29D4"/>
    <w:rsid w:val="003B2D0A"/>
    <w:rsid w:val="003B3F59"/>
    <w:rsid w:val="003B5382"/>
    <w:rsid w:val="003B59EE"/>
    <w:rsid w:val="003C2240"/>
    <w:rsid w:val="003C364D"/>
    <w:rsid w:val="003C4DC4"/>
    <w:rsid w:val="003C698F"/>
    <w:rsid w:val="003C6AF5"/>
    <w:rsid w:val="003D0CE9"/>
    <w:rsid w:val="003D0E57"/>
    <w:rsid w:val="003D6AB7"/>
    <w:rsid w:val="003E22EC"/>
    <w:rsid w:val="003E6917"/>
    <w:rsid w:val="003E7020"/>
    <w:rsid w:val="003F1933"/>
    <w:rsid w:val="00401AEB"/>
    <w:rsid w:val="004033D1"/>
    <w:rsid w:val="004128A0"/>
    <w:rsid w:val="00414B93"/>
    <w:rsid w:val="004153C1"/>
    <w:rsid w:val="0041611E"/>
    <w:rsid w:val="00420D1C"/>
    <w:rsid w:val="00424873"/>
    <w:rsid w:val="00427793"/>
    <w:rsid w:val="00433FF0"/>
    <w:rsid w:val="0043667F"/>
    <w:rsid w:val="00454F00"/>
    <w:rsid w:val="00460666"/>
    <w:rsid w:val="00464F3B"/>
    <w:rsid w:val="00471236"/>
    <w:rsid w:val="004714A9"/>
    <w:rsid w:val="00471E30"/>
    <w:rsid w:val="00473282"/>
    <w:rsid w:val="00474340"/>
    <w:rsid w:val="00480B04"/>
    <w:rsid w:val="00493FA5"/>
    <w:rsid w:val="004960CE"/>
    <w:rsid w:val="004A0E6A"/>
    <w:rsid w:val="004B058B"/>
    <w:rsid w:val="004B1449"/>
    <w:rsid w:val="004B51E3"/>
    <w:rsid w:val="004B7D0A"/>
    <w:rsid w:val="004B7F9E"/>
    <w:rsid w:val="004C031B"/>
    <w:rsid w:val="004D2282"/>
    <w:rsid w:val="004D5393"/>
    <w:rsid w:val="004D6794"/>
    <w:rsid w:val="004D7B4C"/>
    <w:rsid w:val="004E0908"/>
    <w:rsid w:val="004E5084"/>
    <w:rsid w:val="004E73B3"/>
    <w:rsid w:val="004F1F17"/>
    <w:rsid w:val="004F2F40"/>
    <w:rsid w:val="004F4C64"/>
    <w:rsid w:val="00500451"/>
    <w:rsid w:val="0050117C"/>
    <w:rsid w:val="00503615"/>
    <w:rsid w:val="005036F2"/>
    <w:rsid w:val="00506B44"/>
    <w:rsid w:val="00512655"/>
    <w:rsid w:val="00516E7C"/>
    <w:rsid w:val="00521FFA"/>
    <w:rsid w:val="005312C6"/>
    <w:rsid w:val="005327F1"/>
    <w:rsid w:val="005340FC"/>
    <w:rsid w:val="00534257"/>
    <w:rsid w:val="00536976"/>
    <w:rsid w:val="00537E34"/>
    <w:rsid w:val="00540748"/>
    <w:rsid w:val="00540A62"/>
    <w:rsid w:val="0054186B"/>
    <w:rsid w:val="0054452E"/>
    <w:rsid w:val="00553242"/>
    <w:rsid w:val="005601D2"/>
    <w:rsid w:val="00561865"/>
    <w:rsid w:val="00562CBC"/>
    <w:rsid w:val="00564A76"/>
    <w:rsid w:val="005660BB"/>
    <w:rsid w:val="005710CD"/>
    <w:rsid w:val="0057245E"/>
    <w:rsid w:val="0057471D"/>
    <w:rsid w:val="00580D34"/>
    <w:rsid w:val="0058182C"/>
    <w:rsid w:val="00586577"/>
    <w:rsid w:val="00591D07"/>
    <w:rsid w:val="00593C54"/>
    <w:rsid w:val="0059406E"/>
    <w:rsid w:val="005968E2"/>
    <w:rsid w:val="005A31BB"/>
    <w:rsid w:val="005A5E30"/>
    <w:rsid w:val="005A625D"/>
    <w:rsid w:val="005B232A"/>
    <w:rsid w:val="005B31A8"/>
    <w:rsid w:val="005B723E"/>
    <w:rsid w:val="005D5474"/>
    <w:rsid w:val="005D5C66"/>
    <w:rsid w:val="005E5883"/>
    <w:rsid w:val="005F34D5"/>
    <w:rsid w:val="005F380F"/>
    <w:rsid w:val="006004B6"/>
    <w:rsid w:val="0060160B"/>
    <w:rsid w:val="00614486"/>
    <w:rsid w:val="0061464E"/>
    <w:rsid w:val="006205C2"/>
    <w:rsid w:val="00621892"/>
    <w:rsid w:val="00625E10"/>
    <w:rsid w:val="00632A9E"/>
    <w:rsid w:val="00632BD0"/>
    <w:rsid w:val="00636426"/>
    <w:rsid w:val="00637E41"/>
    <w:rsid w:val="00640911"/>
    <w:rsid w:val="006470FE"/>
    <w:rsid w:val="00650409"/>
    <w:rsid w:val="006564AD"/>
    <w:rsid w:val="006656DF"/>
    <w:rsid w:val="006675CB"/>
    <w:rsid w:val="006772C8"/>
    <w:rsid w:val="00682170"/>
    <w:rsid w:val="00683504"/>
    <w:rsid w:val="00694AA0"/>
    <w:rsid w:val="00696055"/>
    <w:rsid w:val="00697451"/>
    <w:rsid w:val="006A0150"/>
    <w:rsid w:val="006A0700"/>
    <w:rsid w:val="006A0DDC"/>
    <w:rsid w:val="006A25B8"/>
    <w:rsid w:val="006A38FB"/>
    <w:rsid w:val="006A5027"/>
    <w:rsid w:val="006A572A"/>
    <w:rsid w:val="006B190A"/>
    <w:rsid w:val="006B3903"/>
    <w:rsid w:val="006B3EFB"/>
    <w:rsid w:val="006B7B59"/>
    <w:rsid w:val="006D034E"/>
    <w:rsid w:val="006D3A83"/>
    <w:rsid w:val="006D5383"/>
    <w:rsid w:val="006D7167"/>
    <w:rsid w:val="006E1150"/>
    <w:rsid w:val="006E2A6E"/>
    <w:rsid w:val="006F0AF8"/>
    <w:rsid w:val="006F104E"/>
    <w:rsid w:val="006F298B"/>
    <w:rsid w:val="006F59D9"/>
    <w:rsid w:val="0070040D"/>
    <w:rsid w:val="00701D55"/>
    <w:rsid w:val="00702954"/>
    <w:rsid w:val="007047D2"/>
    <w:rsid w:val="00704C63"/>
    <w:rsid w:val="00707411"/>
    <w:rsid w:val="0070782A"/>
    <w:rsid w:val="007109A5"/>
    <w:rsid w:val="00710CB1"/>
    <w:rsid w:val="00714420"/>
    <w:rsid w:val="00715B0E"/>
    <w:rsid w:val="00725095"/>
    <w:rsid w:val="007251EB"/>
    <w:rsid w:val="007261F8"/>
    <w:rsid w:val="0073309B"/>
    <w:rsid w:val="00734A7B"/>
    <w:rsid w:val="00735670"/>
    <w:rsid w:val="007358AB"/>
    <w:rsid w:val="007370B5"/>
    <w:rsid w:val="00741686"/>
    <w:rsid w:val="0074474D"/>
    <w:rsid w:val="00750FF8"/>
    <w:rsid w:val="00751883"/>
    <w:rsid w:val="0075290C"/>
    <w:rsid w:val="00756148"/>
    <w:rsid w:val="00756B1D"/>
    <w:rsid w:val="007614D6"/>
    <w:rsid w:val="00766A7A"/>
    <w:rsid w:val="007713F8"/>
    <w:rsid w:val="00771D59"/>
    <w:rsid w:val="00772235"/>
    <w:rsid w:val="00775869"/>
    <w:rsid w:val="00776C92"/>
    <w:rsid w:val="00777210"/>
    <w:rsid w:val="00781454"/>
    <w:rsid w:val="00791D78"/>
    <w:rsid w:val="00792B61"/>
    <w:rsid w:val="00796A86"/>
    <w:rsid w:val="007B1141"/>
    <w:rsid w:val="007B5CAD"/>
    <w:rsid w:val="007B6AC0"/>
    <w:rsid w:val="007B7095"/>
    <w:rsid w:val="007B7BC3"/>
    <w:rsid w:val="007C58FD"/>
    <w:rsid w:val="007C7FED"/>
    <w:rsid w:val="007D3C2C"/>
    <w:rsid w:val="007D522B"/>
    <w:rsid w:val="007D56E6"/>
    <w:rsid w:val="007D6FE8"/>
    <w:rsid w:val="008058C3"/>
    <w:rsid w:val="0081369A"/>
    <w:rsid w:val="008148B8"/>
    <w:rsid w:val="00820174"/>
    <w:rsid w:val="0082152C"/>
    <w:rsid w:val="008217A8"/>
    <w:rsid w:val="00822093"/>
    <w:rsid w:val="008220BB"/>
    <w:rsid w:val="00827DB4"/>
    <w:rsid w:val="00833800"/>
    <w:rsid w:val="00834147"/>
    <w:rsid w:val="008374A5"/>
    <w:rsid w:val="00844672"/>
    <w:rsid w:val="00844FF3"/>
    <w:rsid w:val="00845F42"/>
    <w:rsid w:val="00852A99"/>
    <w:rsid w:val="00856390"/>
    <w:rsid w:val="00860D24"/>
    <w:rsid w:val="00862E2A"/>
    <w:rsid w:val="00864B74"/>
    <w:rsid w:val="008655DC"/>
    <w:rsid w:val="00877A28"/>
    <w:rsid w:val="00885D15"/>
    <w:rsid w:val="00886285"/>
    <w:rsid w:val="008872D5"/>
    <w:rsid w:val="00887E4E"/>
    <w:rsid w:val="008920AA"/>
    <w:rsid w:val="0089329E"/>
    <w:rsid w:val="00894F56"/>
    <w:rsid w:val="008B2FD4"/>
    <w:rsid w:val="008B33EF"/>
    <w:rsid w:val="008C3F2C"/>
    <w:rsid w:val="008C476C"/>
    <w:rsid w:val="008D1E14"/>
    <w:rsid w:val="008D4770"/>
    <w:rsid w:val="008D4CCE"/>
    <w:rsid w:val="008D5ED0"/>
    <w:rsid w:val="008D7132"/>
    <w:rsid w:val="008E0185"/>
    <w:rsid w:val="008E1471"/>
    <w:rsid w:val="008E29CA"/>
    <w:rsid w:val="008F622F"/>
    <w:rsid w:val="008F7B96"/>
    <w:rsid w:val="00900E9F"/>
    <w:rsid w:val="00902203"/>
    <w:rsid w:val="00904106"/>
    <w:rsid w:val="00906BD4"/>
    <w:rsid w:val="009079E9"/>
    <w:rsid w:val="00912237"/>
    <w:rsid w:val="009161D9"/>
    <w:rsid w:val="00917469"/>
    <w:rsid w:val="0092081B"/>
    <w:rsid w:val="00921404"/>
    <w:rsid w:val="00922015"/>
    <w:rsid w:val="0092230D"/>
    <w:rsid w:val="0092672A"/>
    <w:rsid w:val="00931A92"/>
    <w:rsid w:val="00935999"/>
    <w:rsid w:val="00937A34"/>
    <w:rsid w:val="00942275"/>
    <w:rsid w:val="00942C0E"/>
    <w:rsid w:val="0094652F"/>
    <w:rsid w:val="00947168"/>
    <w:rsid w:val="00950B72"/>
    <w:rsid w:val="00952600"/>
    <w:rsid w:val="00955023"/>
    <w:rsid w:val="0095649B"/>
    <w:rsid w:val="009809B2"/>
    <w:rsid w:val="00994F3D"/>
    <w:rsid w:val="009A164D"/>
    <w:rsid w:val="009A3E48"/>
    <w:rsid w:val="009A7720"/>
    <w:rsid w:val="009B057B"/>
    <w:rsid w:val="009B0692"/>
    <w:rsid w:val="009B0829"/>
    <w:rsid w:val="009B3B92"/>
    <w:rsid w:val="009B4B8C"/>
    <w:rsid w:val="009C36CF"/>
    <w:rsid w:val="009C5FC0"/>
    <w:rsid w:val="009C7C8B"/>
    <w:rsid w:val="009C7D38"/>
    <w:rsid w:val="009D4246"/>
    <w:rsid w:val="009E086E"/>
    <w:rsid w:val="009E4AE9"/>
    <w:rsid w:val="009E567C"/>
    <w:rsid w:val="009F0A83"/>
    <w:rsid w:val="009F1C26"/>
    <w:rsid w:val="009F1E01"/>
    <w:rsid w:val="009F2A98"/>
    <w:rsid w:val="009F6F1A"/>
    <w:rsid w:val="00A04623"/>
    <w:rsid w:val="00A11675"/>
    <w:rsid w:val="00A1353C"/>
    <w:rsid w:val="00A13A61"/>
    <w:rsid w:val="00A14A3C"/>
    <w:rsid w:val="00A15794"/>
    <w:rsid w:val="00A16697"/>
    <w:rsid w:val="00A261CD"/>
    <w:rsid w:val="00A2688F"/>
    <w:rsid w:val="00A27666"/>
    <w:rsid w:val="00A339A9"/>
    <w:rsid w:val="00A367C3"/>
    <w:rsid w:val="00A43D25"/>
    <w:rsid w:val="00A449CB"/>
    <w:rsid w:val="00A54929"/>
    <w:rsid w:val="00A54A9A"/>
    <w:rsid w:val="00A576D6"/>
    <w:rsid w:val="00A74B1C"/>
    <w:rsid w:val="00A7673E"/>
    <w:rsid w:val="00A8024B"/>
    <w:rsid w:val="00A81171"/>
    <w:rsid w:val="00A82029"/>
    <w:rsid w:val="00A820EB"/>
    <w:rsid w:val="00A8393F"/>
    <w:rsid w:val="00A87402"/>
    <w:rsid w:val="00A91433"/>
    <w:rsid w:val="00A91FCC"/>
    <w:rsid w:val="00A94552"/>
    <w:rsid w:val="00A96055"/>
    <w:rsid w:val="00A97D45"/>
    <w:rsid w:val="00AA3705"/>
    <w:rsid w:val="00AA4F90"/>
    <w:rsid w:val="00AB6658"/>
    <w:rsid w:val="00AB7D32"/>
    <w:rsid w:val="00AC451E"/>
    <w:rsid w:val="00AD3A17"/>
    <w:rsid w:val="00AD47E0"/>
    <w:rsid w:val="00AD4D16"/>
    <w:rsid w:val="00AD6854"/>
    <w:rsid w:val="00AE06EF"/>
    <w:rsid w:val="00AE21E2"/>
    <w:rsid w:val="00AE5457"/>
    <w:rsid w:val="00AE7AA6"/>
    <w:rsid w:val="00AF0351"/>
    <w:rsid w:val="00AF3569"/>
    <w:rsid w:val="00AF4491"/>
    <w:rsid w:val="00AF485C"/>
    <w:rsid w:val="00B01F58"/>
    <w:rsid w:val="00B0394D"/>
    <w:rsid w:val="00B07F1C"/>
    <w:rsid w:val="00B12017"/>
    <w:rsid w:val="00B15DED"/>
    <w:rsid w:val="00B21A53"/>
    <w:rsid w:val="00B22797"/>
    <w:rsid w:val="00B22C39"/>
    <w:rsid w:val="00B322FD"/>
    <w:rsid w:val="00B3339C"/>
    <w:rsid w:val="00B34CBF"/>
    <w:rsid w:val="00B35131"/>
    <w:rsid w:val="00B40225"/>
    <w:rsid w:val="00B41ACC"/>
    <w:rsid w:val="00B41C5F"/>
    <w:rsid w:val="00B44970"/>
    <w:rsid w:val="00B46DE7"/>
    <w:rsid w:val="00B4750E"/>
    <w:rsid w:val="00B50367"/>
    <w:rsid w:val="00B53168"/>
    <w:rsid w:val="00B56CDF"/>
    <w:rsid w:val="00B57D2F"/>
    <w:rsid w:val="00B62002"/>
    <w:rsid w:val="00B65ABA"/>
    <w:rsid w:val="00B66BEF"/>
    <w:rsid w:val="00B67BD4"/>
    <w:rsid w:val="00B714A5"/>
    <w:rsid w:val="00B71875"/>
    <w:rsid w:val="00B75ACC"/>
    <w:rsid w:val="00B8036E"/>
    <w:rsid w:val="00B90954"/>
    <w:rsid w:val="00B9288F"/>
    <w:rsid w:val="00B9386A"/>
    <w:rsid w:val="00B971AA"/>
    <w:rsid w:val="00B97553"/>
    <w:rsid w:val="00B975F9"/>
    <w:rsid w:val="00B97B3A"/>
    <w:rsid w:val="00BA2653"/>
    <w:rsid w:val="00BB0884"/>
    <w:rsid w:val="00BC7650"/>
    <w:rsid w:val="00BC7983"/>
    <w:rsid w:val="00BD037A"/>
    <w:rsid w:val="00BD25C2"/>
    <w:rsid w:val="00BD3E4B"/>
    <w:rsid w:val="00BD5AEB"/>
    <w:rsid w:val="00BD5F1A"/>
    <w:rsid w:val="00BD6F71"/>
    <w:rsid w:val="00BE08E2"/>
    <w:rsid w:val="00BE0E67"/>
    <w:rsid w:val="00BE43AC"/>
    <w:rsid w:val="00BE6311"/>
    <w:rsid w:val="00BE7318"/>
    <w:rsid w:val="00BF565E"/>
    <w:rsid w:val="00BF60A8"/>
    <w:rsid w:val="00BF6975"/>
    <w:rsid w:val="00BF6C0D"/>
    <w:rsid w:val="00BF7F89"/>
    <w:rsid w:val="00C021DA"/>
    <w:rsid w:val="00C03ACB"/>
    <w:rsid w:val="00C0493E"/>
    <w:rsid w:val="00C05DC0"/>
    <w:rsid w:val="00C07C70"/>
    <w:rsid w:val="00C138DD"/>
    <w:rsid w:val="00C23998"/>
    <w:rsid w:val="00C24911"/>
    <w:rsid w:val="00C24F58"/>
    <w:rsid w:val="00C2661F"/>
    <w:rsid w:val="00C33B13"/>
    <w:rsid w:val="00C35295"/>
    <w:rsid w:val="00C40BFA"/>
    <w:rsid w:val="00C419EC"/>
    <w:rsid w:val="00C44CFA"/>
    <w:rsid w:val="00C50E1F"/>
    <w:rsid w:val="00C5110C"/>
    <w:rsid w:val="00C51660"/>
    <w:rsid w:val="00C5264B"/>
    <w:rsid w:val="00C54D60"/>
    <w:rsid w:val="00C60587"/>
    <w:rsid w:val="00C65A2D"/>
    <w:rsid w:val="00C665FA"/>
    <w:rsid w:val="00C67EF7"/>
    <w:rsid w:val="00C7375B"/>
    <w:rsid w:val="00C8014A"/>
    <w:rsid w:val="00C85DF7"/>
    <w:rsid w:val="00C91A4F"/>
    <w:rsid w:val="00C92316"/>
    <w:rsid w:val="00C92A2A"/>
    <w:rsid w:val="00C93C40"/>
    <w:rsid w:val="00C97181"/>
    <w:rsid w:val="00CA55A0"/>
    <w:rsid w:val="00CA65FA"/>
    <w:rsid w:val="00CA6778"/>
    <w:rsid w:val="00CB793A"/>
    <w:rsid w:val="00CC019E"/>
    <w:rsid w:val="00CC59F9"/>
    <w:rsid w:val="00CC72D0"/>
    <w:rsid w:val="00CD0B22"/>
    <w:rsid w:val="00CD1D47"/>
    <w:rsid w:val="00CD5D61"/>
    <w:rsid w:val="00CD6D38"/>
    <w:rsid w:val="00CD76E9"/>
    <w:rsid w:val="00CE0A17"/>
    <w:rsid w:val="00CE2AC5"/>
    <w:rsid w:val="00CE4C21"/>
    <w:rsid w:val="00CE7465"/>
    <w:rsid w:val="00CF2FCE"/>
    <w:rsid w:val="00CF425A"/>
    <w:rsid w:val="00D0206B"/>
    <w:rsid w:val="00D05EE0"/>
    <w:rsid w:val="00D071BA"/>
    <w:rsid w:val="00D10D0E"/>
    <w:rsid w:val="00D11C93"/>
    <w:rsid w:val="00D13F7F"/>
    <w:rsid w:val="00D14DEB"/>
    <w:rsid w:val="00D20AEA"/>
    <w:rsid w:val="00D2572F"/>
    <w:rsid w:val="00D30818"/>
    <w:rsid w:val="00D332CB"/>
    <w:rsid w:val="00D34AB5"/>
    <w:rsid w:val="00D34F33"/>
    <w:rsid w:val="00D375DB"/>
    <w:rsid w:val="00D37F0B"/>
    <w:rsid w:val="00D440B8"/>
    <w:rsid w:val="00D449C3"/>
    <w:rsid w:val="00D44E7B"/>
    <w:rsid w:val="00D473ED"/>
    <w:rsid w:val="00D54B70"/>
    <w:rsid w:val="00D57F1A"/>
    <w:rsid w:val="00D62F81"/>
    <w:rsid w:val="00D65AED"/>
    <w:rsid w:val="00D700CC"/>
    <w:rsid w:val="00D7733B"/>
    <w:rsid w:val="00D81133"/>
    <w:rsid w:val="00D84ED4"/>
    <w:rsid w:val="00D90C97"/>
    <w:rsid w:val="00D91251"/>
    <w:rsid w:val="00D91D1C"/>
    <w:rsid w:val="00D93333"/>
    <w:rsid w:val="00DA43CA"/>
    <w:rsid w:val="00DA740F"/>
    <w:rsid w:val="00DB12A0"/>
    <w:rsid w:val="00DB53D5"/>
    <w:rsid w:val="00DB7DB9"/>
    <w:rsid w:val="00DC2503"/>
    <w:rsid w:val="00DC3AB9"/>
    <w:rsid w:val="00DC41DC"/>
    <w:rsid w:val="00DC7989"/>
    <w:rsid w:val="00DD304C"/>
    <w:rsid w:val="00DD6AE7"/>
    <w:rsid w:val="00DE40EE"/>
    <w:rsid w:val="00DF0C3D"/>
    <w:rsid w:val="00DF24E9"/>
    <w:rsid w:val="00DF2A7E"/>
    <w:rsid w:val="00E05B65"/>
    <w:rsid w:val="00E10A36"/>
    <w:rsid w:val="00E14491"/>
    <w:rsid w:val="00E164A2"/>
    <w:rsid w:val="00E20854"/>
    <w:rsid w:val="00E224C3"/>
    <w:rsid w:val="00E24151"/>
    <w:rsid w:val="00E24D8C"/>
    <w:rsid w:val="00E254F5"/>
    <w:rsid w:val="00E2665E"/>
    <w:rsid w:val="00E31CDF"/>
    <w:rsid w:val="00E32ED3"/>
    <w:rsid w:val="00E36DA1"/>
    <w:rsid w:val="00E42333"/>
    <w:rsid w:val="00E46659"/>
    <w:rsid w:val="00E5096E"/>
    <w:rsid w:val="00E52723"/>
    <w:rsid w:val="00E52E15"/>
    <w:rsid w:val="00E54E44"/>
    <w:rsid w:val="00E569CC"/>
    <w:rsid w:val="00E62EEC"/>
    <w:rsid w:val="00E63703"/>
    <w:rsid w:val="00E660A9"/>
    <w:rsid w:val="00E718DB"/>
    <w:rsid w:val="00E72E70"/>
    <w:rsid w:val="00E81986"/>
    <w:rsid w:val="00E837EB"/>
    <w:rsid w:val="00E85106"/>
    <w:rsid w:val="00E85AE6"/>
    <w:rsid w:val="00E8658C"/>
    <w:rsid w:val="00E871E0"/>
    <w:rsid w:val="00E87DFB"/>
    <w:rsid w:val="00E91B64"/>
    <w:rsid w:val="00E96CED"/>
    <w:rsid w:val="00EB3222"/>
    <w:rsid w:val="00EB6B3E"/>
    <w:rsid w:val="00EB7B7F"/>
    <w:rsid w:val="00EC1378"/>
    <w:rsid w:val="00EC14F5"/>
    <w:rsid w:val="00EC26DE"/>
    <w:rsid w:val="00EC347A"/>
    <w:rsid w:val="00EC54B9"/>
    <w:rsid w:val="00ED73E1"/>
    <w:rsid w:val="00ED7A88"/>
    <w:rsid w:val="00EE0165"/>
    <w:rsid w:val="00EE3D65"/>
    <w:rsid w:val="00EE587F"/>
    <w:rsid w:val="00EE7A33"/>
    <w:rsid w:val="00EF4A71"/>
    <w:rsid w:val="00EF532A"/>
    <w:rsid w:val="00EF76C3"/>
    <w:rsid w:val="00F01E17"/>
    <w:rsid w:val="00F02665"/>
    <w:rsid w:val="00F07F36"/>
    <w:rsid w:val="00F110B5"/>
    <w:rsid w:val="00F114DB"/>
    <w:rsid w:val="00F173EF"/>
    <w:rsid w:val="00F215BC"/>
    <w:rsid w:val="00F246E8"/>
    <w:rsid w:val="00F259D5"/>
    <w:rsid w:val="00F25EF9"/>
    <w:rsid w:val="00F26BD3"/>
    <w:rsid w:val="00F3289B"/>
    <w:rsid w:val="00F32A25"/>
    <w:rsid w:val="00F41EF9"/>
    <w:rsid w:val="00F44C0C"/>
    <w:rsid w:val="00F44D4B"/>
    <w:rsid w:val="00F520C9"/>
    <w:rsid w:val="00F5492E"/>
    <w:rsid w:val="00F55771"/>
    <w:rsid w:val="00F56AC2"/>
    <w:rsid w:val="00F623EE"/>
    <w:rsid w:val="00F628BB"/>
    <w:rsid w:val="00F65376"/>
    <w:rsid w:val="00F673D6"/>
    <w:rsid w:val="00F7327C"/>
    <w:rsid w:val="00F73898"/>
    <w:rsid w:val="00F8126A"/>
    <w:rsid w:val="00F90C9E"/>
    <w:rsid w:val="00F94F96"/>
    <w:rsid w:val="00FA07DB"/>
    <w:rsid w:val="00FA1C1A"/>
    <w:rsid w:val="00FA349F"/>
    <w:rsid w:val="00FA3985"/>
    <w:rsid w:val="00FA44F5"/>
    <w:rsid w:val="00FA7580"/>
    <w:rsid w:val="00FB074A"/>
    <w:rsid w:val="00FB0B04"/>
    <w:rsid w:val="00FB2D9D"/>
    <w:rsid w:val="00FB544B"/>
    <w:rsid w:val="00FB65BD"/>
    <w:rsid w:val="00FC0758"/>
    <w:rsid w:val="00FC6A50"/>
    <w:rsid w:val="00FE1D30"/>
    <w:rsid w:val="00FE2A1B"/>
    <w:rsid w:val="00FE2A54"/>
    <w:rsid w:val="00FF0ED7"/>
    <w:rsid w:val="00FF2B80"/>
    <w:rsid w:val="00FF4683"/>
    <w:rsid w:val="00FF5AFE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70313"/>
  <w15:chartTrackingRefBased/>
  <w15:docId w15:val="{3E633919-EB1F-544C-9A9B-7B45354A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5B77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625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30818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F41EF9"/>
    <w:rPr>
      <w:sz w:val="16"/>
      <w:szCs w:val="16"/>
    </w:rPr>
  </w:style>
  <w:style w:type="paragraph" w:styleId="Testocommento">
    <w:name w:val="annotation text"/>
    <w:basedOn w:val="Normale"/>
    <w:semiHidden/>
    <w:rsid w:val="00F41EF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41EF9"/>
    <w:rPr>
      <w:b/>
      <w:bCs/>
    </w:rPr>
  </w:style>
  <w:style w:type="paragraph" w:styleId="Intestazione">
    <w:name w:val="header"/>
    <w:basedOn w:val="Normale"/>
    <w:rsid w:val="00C419E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419E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F6302"/>
  </w:style>
  <w:style w:type="paragraph" w:styleId="NormaleWeb">
    <w:name w:val="Normal (Web)"/>
    <w:basedOn w:val="Normale"/>
    <w:uiPriority w:val="99"/>
    <w:unhideWhenUsed/>
    <w:rsid w:val="00A04623"/>
    <w:pPr>
      <w:spacing w:before="100" w:beforeAutospacing="1" w:after="100" w:afterAutospacing="1"/>
    </w:pPr>
  </w:style>
  <w:style w:type="paragraph" w:customStyle="1" w:styleId="Default">
    <w:name w:val="Default"/>
    <w:rsid w:val="00B21A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2945-D5B9-463A-AD25-DA57F97F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SUI LIVELLI DI QUALITA’ COMMERCIALE DEL SERVIZIO DI DISTRIBUZIONE DEL GAS</vt:lpstr>
    </vt:vector>
  </TitlesOfParts>
  <Company>ENI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SUI LIVELLI DI QUALITA’ COMMERCIALE DEL SERVIZIO DI DISTRIBUZIONE DEL GAS</dc:title>
  <dc:subject/>
  <dc:creator>ENI</dc:creator>
  <cp:keywords/>
  <cp:lastModifiedBy>Fantoni, Rosella</cp:lastModifiedBy>
  <cp:revision>2</cp:revision>
  <cp:lastPrinted>2023-07-19T09:46:00Z</cp:lastPrinted>
  <dcterms:created xsi:type="dcterms:W3CDTF">2023-07-19T10:37:00Z</dcterms:created>
  <dcterms:modified xsi:type="dcterms:W3CDTF">2023-07-19T10:37:00Z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a8fa66-e3bd-455e-8596-3f91b85c4dd6_Enabled">
    <vt:lpwstr>true</vt:lpwstr>
  </property>
  <property fmtid="{D5CDD505-2E9C-101B-9397-08002B2CF9AE}" pid="3" name="MSIP_Label_7aa8fa66-e3bd-455e-8596-3f91b85c4dd6_SetDate">
    <vt:lpwstr>2023-07-19T10:37:21Z</vt:lpwstr>
  </property>
  <property fmtid="{D5CDD505-2E9C-101B-9397-08002B2CF9AE}" pid="4" name="MSIP_Label_7aa8fa66-e3bd-455e-8596-3f91b85c4dd6_Method">
    <vt:lpwstr>Privileged</vt:lpwstr>
  </property>
  <property fmtid="{D5CDD505-2E9C-101B-9397-08002B2CF9AE}" pid="5" name="MSIP_Label_7aa8fa66-e3bd-455e-8596-3f91b85c4dd6_Name">
    <vt:lpwstr>Pubblico</vt:lpwstr>
  </property>
  <property fmtid="{D5CDD505-2E9C-101B-9397-08002B2CF9AE}" pid="6" name="MSIP_Label_7aa8fa66-e3bd-455e-8596-3f91b85c4dd6_SiteId">
    <vt:lpwstr>a4d618cc-cf96-4e63-9d38-9185499aae90</vt:lpwstr>
  </property>
  <property fmtid="{D5CDD505-2E9C-101B-9397-08002B2CF9AE}" pid="7" name="MSIP_Label_7aa8fa66-e3bd-455e-8596-3f91b85c4dd6_ActionId">
    <vt:lpwstr>264f29e6-cc74-4906-8f3d-a2970404026a</vt:lpwstr>
  </property>
  <property fmtid="{D5CDD505-2E9C-101B-9397-08002B2CF9AE}" pid="8" name="MSIP_Label_7aa8fa66-e3bd-455e-8596-3f91b85c4dd6_ContentBits">
    <vt:lpwstr>0</vt:lpwstr>
  </property>
</Properties>
</file>